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/>
              <w:rPr>
                <w:rFonts w:ascii="Times New Roman" w:hAnsi="Times New Roman" w:cs="Times New Roman"/>
                <w:b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DJEČJI VRTIĆ „MORSKI KONJIĆ“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Put sv. </w:t>
            </w:r>
            <w:r>
              <w:rPr>
                <w:rFonts w:ascii="Times New Roman" w:hAnsi="Times New Roman" w:cs="Times New Roman"/>
              </w:rPr>
              <w:t xml:space="preserve">Vicenca</w:t>
            </w:r>
            <w:r>
              <w:rPr>
                <w:rFonts w:ascii="Times New Roman" w:hAnsi="Times New Roman" w:cs="Times New Roman"/>
              </w:rPr>
              <w:t xml:space="preserve"> 1, 21327 Podgora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400-01/26-01/5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URBROJ: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 xml:space="preserve">2147-5-26-1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Podgora,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17.04.2026.</w:t>
            </w:r>
          </w:p>
        </w:tc>
        <w:tc>
          <w:tcPr>
            <w:tcW w:type="dxa" w:w="2693"/>
            <w:tcBorders/>
          </w:tcPr>
          <w:p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63EB4545">
      <w:pPr>
        <w:spacing/>
        <w:rPr/>
      </w:pPr>
    </w:p>
    <w:p w14:paraId="07EFAA38">
      <w:pPr>
        <w:spacing/>
        <w:rPr/>
      </w:pPr>
    </w:p>
    <w:p w14:paraId="1061DF98"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86. Zakona o proračunu (NN 144/21), članka 30. i članka 31. Pravilnika o polugodišnjem i godišnjem izvještaju o izvršenju proračuna (NN 85/2023) i članka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29., stavka 2. </w:t>
      </w:r>
      <w:r>
        <w:rPr>
          <w:rFonts w:ascii="Times New Roman" w:hAnsi="Times New Roman" w:cs="Times New Roman"/>
          <w:sz w:val="24"/>
          <w:szCs w:val="24"/>
        </w:rPr>
        <w:t xml:space="preserve">Statuta Dječjeg vrtića „Morski konjić“, Upravno vijeće Dječjeg vrtića „Morski konjić“ na svojoj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17.04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2026. godine donosi Godišnji izvještaj o izvršenju proračuna Dječjeg vrtića „Morski konjić“ za razdoblje od 1. siječnja 2025. godine do 31. prosinca 2025. godine</w:t>
      </w:r>
    </w:p>
    <w:tbl>
      <w:tblPr>
        <w:tblW w:w="154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405"/>
      </w:tblGrid>
      <w:tr>
        <w:trPr>
          <w:trHeight w:val="360" w:hRule="atLeast"/>
        </w:trPr>
        <w:tc>
          <w:tcPr>
            <w:tcW w:type="dxa" w:w="15405"/>
            <w:tcBorders>
              <w:top w:val="nil"/>
              <w:left w:val="nil"/>
              <w:bottom w:val="nil"/>
              <w:right w:val="nil"/>
            </w:tcBorders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 xml:space="preserve">Godišnji izvještaj o izvršenju proračuna Dječjeg vrtića "Morski konjić"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 xml:space="preserve"> Podgora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32"/>
                <w:szCs w:val="32"/>
                <w:lang w:eastAsia="hr-HR"/>
                <w14:ligatures w14:val="none"/>
              </w:rPr>
              <w:t xml:space="preserve">Za razdoblje od 01.01.2025. do 31.12.2025.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32"/>
                <w:szCs w:val="32"/>
                <w:lang w:eastAsia="hr-HR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</w:tr>
    </w:tbl>
    <w:p w14:paraId="462B347D">
      <w:pPr>
        <w:spacing/>
        <w:rPr>
          <w:sz w:val="24"/>
          <w:szCs w:val="24"/>
        </w:rPr>
      </w:pPr>
      <w:r>
        <w:rPr/>
        <w:fldChar w:fldCharType="begin"/>
      </w:r>
      <w:r>
        <w:rPr/>
        <w:instrText xml:space="preserve"> LINK Excel.Sheet.8 "C:\\Users\\TAJNISTVO\\Documents\\Klara\\financiranje boravka 2026\\financijski izvještaj\\Ispis izvršenja proračuna.xls" "Izvještaj o izvršenju proračuna!R7C1:R9C21" \a \f 4 \h  \* MERGEFORMAT </w:instrText>
      </w:r>
      <w:r>
        <w:rPr/>
        <w:fldChar w:fldCharType="separate"/>
      </w:r>
    </w:p>
    <w:tbl>
      <w:tblPr>
        <w:tblW w:w="154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410"/>
      </w:tblGrid>
      <w:tr>
        <w:trPr>
          <w:trHeight w:val="255" w:hRule="atLeast"/>
        </w:trPr>
        <w:tc>
          <w:tcPr>
            <w:tcW w:type="dxa" w:w="15410"/>
            <w:tcBorders>
              <w:top w:val="nil"/>
              <w:left w:val="nil"/>
              <w:bottom w:val="nil"/>
              <w:right w:val="nil"/>
            </w:tcBorders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15410"/>
            <w:tcBorders>
              <w:top w:val="nil"/>
              <w:left w:val="nil"/>
              <w:bottom w:val="nil"/>
              <w:right w:val="nil"/>
            </w:tcBorders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690" w:hRule="atLeast"/>
        </w:trPr>
        <w:tc>
          <w:tcPr>
            <w:tcW w:type="dxa" w:w="15410"/>
            <w:tcBorders>
              <w:top w:val="nil"/>
              <w:left w:val="nil"/>
              <w:bottom w:val="nil"/>
              <w:right w:val="nil"/>
            </w:tcBorders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I. OPĆI DIO</w:t>
            </w:r>
            <w:r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br/>
            </w:r>
            <w:r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SAŽETAK RAČUNA PRIHODA I RASHODA I RAČUNA FINANCIRANJA</w:t>
            </w:r>
          </w:p>
        </w:tc>
      </w:tr>
    </w:tbl>
    <w:p w14:paraId="228E994A">
      <w:pPr>
        <w:spacing/>
        <w:jc w:val="center"/>
        <w:rPr/>
      </w:pPr>
      <w:r>
        <w:rPr/>
        <w:fldChar w:fldCharType="end"/>
      </w:r>
    </w:p>
    <w:tbl>
      <w:tblPr>
        <w:tblW w:w="145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799"/>
        <w:gridCol w:w="1701"/>
        <w:gridCol w:w="1701"/>
        <w:gridCol w:w="1560"/>
        <w:gridCol w:w="1701"/>
        <w:gridCol w:w="1134"/>
      </w:tblGrid>
      <w:tr>
        <w:trPr>
          <w:trHeight w:val="495" w:hRule="atLeast"/>
          <w:jc w:val="center"/>
        </w:trPr>
        <w:tc>
          <w:tcPr>
            <w:tcW w:type="dxa" w:w="679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Račun / opis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Izvršenje 2024.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Izvorni plan 2025.</w:t>
            </w:r>
          </w:p>
        </w:tc>
        <w:tc>
          <w:tcPr>
            <w:tcW w:type="dxa" w:w="15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Izvršenje 2025.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Indeks  3/1</w:t>
            </w:r>
          </w:p>
        </w:tc>
        <w:tc>
          <w:tcPr>
            <w:tcW w:type="dxa" w:w="113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Indeks  3/2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9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A. RAČUN PRIHODA I RASHODA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1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2</w:t>
            </w:r>
          </w:p>
        </w:tc>
        <w:tc>
          <w:tcPr>
            <w:tcW w:type="dxa" w:w="15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3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4</w:t>
            </w:r>
          </w:p>
        </w:tc>
        <w:tc>
          <w:tcPr>
            <w:tcW w:type="dxa" w:w="113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5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9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6 Prihodi poslovanja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252.592,12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352.501,00</w:t>
            </w:r>
          </w:p>
        </w:tc>
        <w:tc>
          <w:tcPr>
            <w:tcW w:type="dxa" w:w="15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334.789,95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132,54%</w:t>
            </w:r>
          </w:p>
        </w:tc>
        <w:tc>
          <w:tcPr>
            <w:tcW w:type="dxa" w:w="113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94,98%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9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7 Prihodi od prodaje nefinancijske imovine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5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13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9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PRIHODI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252.592,12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352.501,00</w:t>
            </w:r>
          </w:p>
        </w:tc>
        <w:tc>
          <w:tcPr>
            <w:tcW w:type="dxa" w:w="15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334.789,95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132,54%</w:t>
            </w:r>
          </w:p>
        </w:tc>
        <w:tc>
          <w:tcPr>
            <w:tcW w:type="dxa" w:w="113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94,98%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9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 Rashodi poslovanja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246.840,30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349.091,00</w:t>
            </w:r>
          </w:p>
        </w:tc>
        <w:tc>
          <w:tcPr>
            <w:tcW w:type="dxa" w:w="15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341.984,13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138,54%</w:t>
            </w:r>
          </w:p>
        </w:tc>
        <w:tc>
          <w:tcPr>
            <w:tcW w:type="dxa" w:w="113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97,96%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9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 Rashodi za nabavu nefinancijske imovine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3.410,00</w:t>
            </w:r>
          </w:p>
        </w:tc>
        <w:tc>
          <w:tcPr>
            <w:tcW w:type="dxa" w:w="15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3.419,54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113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100,28%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9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RASHODI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246.840,30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352.501,00</w:t>
            </w:r>
          </w:p>
        </w:tc>
        <w:tc>
          <w:tcPr>
            <w:tcW w:type="dxa" w:w="15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345.403,67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139,93%</w:t>
            </w:r>
          </w:p>
        </w:tc>
        <w:tc>
          <w:tcPr>
            <w:tcW w:type="dxa" w:w="113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97,99%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9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VIŠAK / MANJAK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5.751,82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5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-10.613,72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-184,53%</w:t>
            </w:r>
          </w:p>
        </w:tc>
        <w:tc>
          <w:tcPr>
            <w:tcW w:type="dxa" w:w="113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9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B. RAČUN ZADUŽIVANJA / FINANCIRANJA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5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13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9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8 Primici od financijske imovine i zaduživanja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5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13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9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5 Izdaci za financijsku imovinu i otplate zajmova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5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13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9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NETO ZADUŽIVANJE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5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113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9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DONOS VIŠKA / MANJKA IZ PRETHODNE(IH) GODINA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5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13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525" w:hRule="atLeast"/>
          <w:jc w:val="center"/>
        </w:trPr>
        <w:tc>
          <w:tcPr>
            <w:tcW w:type="dxa" w:w="679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VIŠAK / MANJAK IZ PRETHODNE(IH) GODINE KOJI ĆE SE POKRITI / RASPOREDITI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5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5.628,35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113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9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VIŠAK / MANJAK + NETO ZADUŽIVANJE / FINANCIRANJE + KORIŠTENO U PRETHODNIM GODINAMA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5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13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9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REZULTAT GODINE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5.751,82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5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-4.985,37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-86,67%</w:t>
            </w:r>
          </w:p>
        </w:tc>
        <w:tc>
          <w:tcPr>
            <w:tcW w:type="dxa" w:w="113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</w:tr>
    </w:tbl>
    <w:p w14:paraId="709B4B4C">
      <w:pPr>
        <w:spacing/>
        <w:jc w:val="center"/>
        <w:rPr/>
      </w:pPr>
    </w:p>
    <w:p w14:paraId="6164EE82">
      <w:pPr>
        <w:spacing/>
        <w:jc w:val="center"/>
        <w:rPr/>
      </w:pPr>
    </w:p>
    <w:p w14:paraId="58F31105">
      <w:pPr>
        <w:spacing/>
        <w:jc w:val="center"/>
        <w:rPr/>
      </w:pPr>
    </w:p>
    <w:tbl>
      <w:tblPr>
        <w:tblW w:w="8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40"/>
      </w:tblGrid>
      <w:tr>
        <w:trPr>
          <w:trHeight w:val="360" w:hRule="atLeast"/>
          <w:jc w:val="center"/>
        </w:trPr>
        <w:tc>
          <w:tcPr>
            <w:tcW w:type="dxa" w:w="8940"/>
            <w:tcBorders>
              <w:top w:val="nil"/>
              <w:left w:val="nil"/>
              <w:bottom w:val="nil"/>
              <w:right w:val="nil"/>
            </w:tcBorders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 xml:space="preserve">Prihodi i rashodi prema ekonomskoj klasifikaciji</w:t>
            </w:r>
          </w:p>
        </w:tc>
      </w:tr>
      <w:tr>
        <w:trPr>
          <w:trHeight w:val="255" w:hRule="atLeast"/>
          <w:jc w:val="center"/>
        </w:trPr>
        <w:tc>
          <w:tcPr>
            <w:tcW w:type="dxa" w:w="8940"/>
            <w:tcBorders>
              <w:top w:val="nil"/>
              <w:left w:val="nil"/>
              <w:bottom w:val="nil"/>
              <w:right w:val="nil"/>
            </w:tcBorders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Za razdoblje od 01.01.2025. do 31.12.2025.</w:t>
            </w:r>
          </w:p>
        </w:tc>
      </w:tr>
    </w:tbl>
    <w:p w14:paraId="5D616E64">
      <w:pPr>
        <w:spacing/>
        <w:jc w:val="center"/>
        <w:rPr/>
      </w:pPr>
    </w:p>
    <w:p w14:paraId="1C7DDAE5">
      <w:pPr>
        <w:spacing/>
        <w:jc w:val="center"/>
        <w:rPr>
          <w:sz w:val="24"/>
          <w:szCs w:val="24"/>
        </w:rPr>
      </w:pPr>
      <w:r>
        <w:rPr/>
        <w:fldChar w:fldCharType="begin"/>
      </w:r>
      <w:r>
        <w:rPr/>
        <w:instrText xml:space="preserve"> LINK Excel.Sheet.8 "C:\\Users\\TAJNISTVO\\Documents\\Klara\\financiranje boravka 2026\\financijski izvještaj\\Ispis izvršenja proračuna.xls" "Prihodi i rashodi prema ekonoms!R14C1:R84C22" \a \f 4 \h  \* MERGEFORMAT </w:instrText>
      </w:r>
      <w:r>
        <w:rPr/>
        <w:fldChar w:fldCharType="separate"/>
      </w:r>
    </w:p>
    <w:tbl>
      <w:tblPr>
        <w:tblW w:w="13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751"/>
        <w:gridCol w:w="1283"/>
        <w:gridCol w:w="1457"/>
        <w:gridCol w:w="1419"/>
        <w:gridCol w:w="1701"/>
        <w:gridCol w:w="1161"/>
        <w:gridCol w:w="222"/>
      </w:tblGrid>
      <w:tr>
        <w:trPr>
          <w:gridAfter w:val="1"/>
          <w:wAfter w:type="dxa" w:w="222"/>
          <w:trHeight w:val="471" w:hRule="atLeast"/>
        </w:trPr>
        <w:tc>
          <w:tcPr>
            <w:tcW w:type="dxa" w:w="675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000000" w:val="clear"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Račun / opis</w:t>
            </w:r>
          </w:p>
        </w:tc>
        <w:tc>
          <w:tcPr>
            <w:tcW w:type="dxa" w:w="128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000000" w:val="clear"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Izvršenje 2024.</w:t>
            </w:r>
          </w:p>
        </w:tc>
        <w:tc>
          <w:tcPr>
            <w:tcW w:type="dxa" w:w="145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000000" w:val="clear"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Izvorni plan 2025.</w:t>
            </w:r>
          </w:p>
        </w:tc>
        <w:tc>
          <w:tcPr>
            <w:tcW w:type="dxa" w:w="141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000000" w:val="clear"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Izvršenje 2025.</w:t>
            </w:r>
          </w:p>
        </w:tc>
        <w:tc>
          <w:tcPr>
            <w:tcW w:type="dxa" w:w="170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000000" w:val="clear"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Indeks  3/1</w:t>
            </w:r>
          </w:p>
        </w:tc>
        <w:tc>
          <w:tcPr>
            <w:tcW w:type="dxa" w:w="116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000000" w:val="clear"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Indeks  3/2</w:t>
            </w:r>
          </w:p>
        </w:tc>
      </w:tr>
      <w:tr>
        <w:trPr>
          <w:trHeight w:val="255" w:hRule="atLeast"/>
        </w:trPr>
        <w:tc>
          <w:tcPr>
            <w:tcW w:type="dxa" w:w="675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type="dxa" w:w="128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type="dxa" w:w="145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type="dxa" w:w="14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type="dxa" w:w="170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type="dxa" w:w="116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A. RAČUN PRIHODA I RASHODA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1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2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3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4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5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6 Prihodi poslovanja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252.592,12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352.501,00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334.789,95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132,54%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94,98%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540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63 Pomoći iz inozemstva i od subjekata unutar općeg proračuna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710,40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2.800,00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931,20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131,08%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33,26%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633 Pomoći proračunu i izvanproračunskim korisnicima iz drugih proračuna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710,40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931,20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131,08%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76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6331 Tekuće pomoći proračunu i izvanproračunskim korisnicima iz drugih proračuna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710,40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931,20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131,08%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64 Prihodi od imovine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0,15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1,00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0,33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220,00%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33,00%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641 Prihodi od financijske imovine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0,15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0,33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220,00%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510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6413 Kamate na oročena sredstva i depozite po viđenju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0,15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0,33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220,00%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49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65 Prihodi od upravnih i administrativnih pristojbi, pristojbi po posebnim propisima i naknada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65.978,75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70.000,00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65.985,62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100,01%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94,27%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652 Prihodi po posebnim propisima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65.978,75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65.985,62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100,01%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6526 Ostali nespomenuti prihodi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65.978,75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65.985,62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100,01%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52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66 Prihodi od prodaje proizvoda i robe te pruženih usluga, prihodi od donacija te povrati po protestira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2.500,00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1.965,73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78,63%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663 Donacije od pravnih i fizičkih osoba izvan općeg proračuna te povrat donacija i kapitalnih pomoći po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1.965,73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6631 Tekuće donacije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1.965,73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600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67 Prihodi iz nadležnog proračuna i od HZZO-a temeljem ugovornih obveza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183.778,14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275.700,00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265.158,39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144,28%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96,18%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76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671 Prihodi iz nadležnog proračuna za financiranje redovne djelatnosti proračunskih korisnika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183.778,14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265.158,39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144,28%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6711 Prihodi iz nadležnog proračuna za financiranje rashoda poslovanja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183.778,14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265.158,39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144,28%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68 Kazne, upravne mjere i ostali prihodi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2.124,68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1.500,00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748,68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35,24%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49,91%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683 Ostali prihodi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2.124,68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748,68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35,24%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6831 Ostali prihodi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2.124,68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748,68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35,24%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 Rashodi poslovanja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246.840,30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349.091,00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341.984,13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138,54%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97,96%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31 Rashodi za zaposlene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183.497,77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274.000,00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275.397,68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150,08%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100,51%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311 Plaće (Bruto)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152.559,25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232.817,69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152,61%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3111 Plaće za redovan rad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152.559,25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232.817,69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152,61%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312 Ostali rashodi za zaposlene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7.600,00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8.160,00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107,37%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3121 Ostali rashodi za zaposlene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7.600,00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8.160,00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107,37%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313 Doprinosi na plaće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23.338,52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34.419,99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147,48%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540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3132 Doprinosi za obvezno zdravstveno osiguranje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23.338,52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34.419,99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147,48%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32 Materijalni rashodi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61.626,18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73.291,00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65.189,99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105,78%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88,95%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321 Naknade troškova zaposlenima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9.051,94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11.339,20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125,27%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3211 Službena putovanja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104,00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992,93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954,74%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3212 Naknade za prijevoz, za rad na terenu i odvojeni život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8.465,03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8.989,57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106,20%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3213 Stručno usavršavanje zaposlenika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482,91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571,50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118,35%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3214 Ostale naknade troškova zaposlenima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785,20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322 Rashodi za materijal i energiju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37.658,73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38.393,25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101,95%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3221 Uredski materijal i ostali materijalni rashodi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8.506,14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7.628,91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89,69%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3222 Materijal i sirovine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22.921,65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26.134,17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114,02%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3223 Energija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5.563,48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3.703,52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66,57%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510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3224 Materijal i dijelovi za tekuće i investicijsko održavanje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103,41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212,52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205,51%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3225 Sitni inventar i </w:t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autogume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445,75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70,19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15,75%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52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3227 Službena, radna i zaštitna odjeća i obuća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118,30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643,94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544,33%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323 Rashodi za usluge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14.181,20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13.142,01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92,67%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600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3231 Usluge telefona, interneta, pošte i prijevoza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286,10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579,27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202,47%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450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3232 Usluge tekućeg i investicijskog  održavanja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1.166,58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155,00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13,29%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3233 Usluge promidžbe i informiranja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824,73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1.870,00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226,74%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3234 Komunalne usluge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2.203,63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1.515,67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68,78%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3236 Zdravstvene i veterinarske usluge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780,40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219,00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28,06%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3237 Intelektualne i osobne usluge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4.539,92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3.237,08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71,30%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3238 Računalne usluge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1.862,72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2.194,61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117,82%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3239 Ostale usluge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2.517,12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3.371,38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133,94%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329 Ostali nespomenuti rashodi poslovanja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734,31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2.315,53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315,33%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3292 Premije osiguranja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244,00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300,00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122,95%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3293 Reprezentacija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123,00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31,50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25,61%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3294 Članarine i norme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25,00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3295 Pristojbe i naknade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342,31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341,16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99,66%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3299 Ostali nespomenuti rashodi poslovanja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1.642,87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34 Financijski rashodi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1.316,35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1.800,00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1.396,46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106,09%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77,58%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343 Ostali financijski rashodi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1.316,35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1.396,46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106,09%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510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3431 Bankarske usluge i usluge platnog prometa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718,45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749,59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104,33%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3433 Zatezne kamate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27,39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3434 Ostali nespomenuti financijski rashodi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597,90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619,48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103,61%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52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38 Rashodi za donacije, kazne, naknade šteta i kapitalne pomoći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400,00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381 Tekuće donacije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400,00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3811 Tekuće donacije u novcu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400,00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58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 Rashodi za nabavu nefinancijske imovine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3.410,00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3.419,54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100,28%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49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42 Rashodi za nabavu proizvedene dugotrajne imovine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3.410,00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3.419,54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100,28%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422 Postrojenja i oprema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3.419,54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4221 Uredska oprema i namještaj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3.225,07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540" w:hRule="atLeast"/>
        </w:trPr>
        <w:tc>
          <w:tcPr>
            <w:tcW w:type="dxa" w:w="67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4227 Uređaji, strojevi i oprema za ostale namjene</w:t>
            </w:r>
          </w:p>
        </w:tc>
        <w:tc>
          <w:tcPr>
            <w:tcW w:type="dxa" w:w="128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5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4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194,47</w:t>
            </w:r>
          </w:p>
        </w:tc>
        <w:tc>
          <w:tcPr>
            <w:tcW w:type="dxa" w:w="170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116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222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54C48E24">
      <w:pPr>
        <w:spacing/>
        <w:jc w:val="center"/>
        <w:rPr/>
      </w:pPr>
      <w:r>
        <w:rPr/>
        <w:fldChar w:fldCharType="end"/>
      </w:r>
    </w:p>
    <w:tbl>
      <w:tblPr>
        <w:tblW w:w="9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80"/>
      </w:tblGrid>
      <w:tr>
        <w:trPr>
          <w:trHeight w:val="360" w:hRule="atLeast"/>
          <w:jc w:val="center"/>
        </w:trPr>
        <w:tc>
          <w:tcPr>
            <w:tcW w:type="dxa" w:w="9480"/>
            <w:tcBorders>
              <w:top w:val="nil"/>
              <w:left w:val="nil"/>
              <w:bottom w:val="nil"/>
              <w:right w:val="nil"/>
            </w:tcBorders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 xml:space="preserve">Prihodi i rashodi prema izvorima</w:t>
            </w:r>
          </w:p>
        </w:tc>
      </w:tr>
      <w:tr>
        <w:trPr>
          <w:trHeight w:val="255" w:hRule="atLeast"/>
          <w:jc w:val="center"/>
        </w:trPr>
        <w:tc>
          <w:tcPr>
            <w:tcW w:type="dxa" w:w="9480"/>
            <w:tcBorders>
              <w:top w:val="nil"/>
              <w:left w:val="nil"/>
              <w:bottom w:val="nil"/>
              <w:right w:val="nil"/>
            </w:tcBorders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Za razdoblje od 01.01.2025. do 31.12.2025.</w:t>
            </w:r>
          </w:p>
        </w:tc>
      </w:tr>
    </w:tbl>
    <w:p w14:paraId="406CA13C">
      <w:pPr>
        <w:spacing/>
        <w:jc w:val="center"/>
        <w:rPr/>
      </w:pPr>
    </w:p>
    <w:tbl>
      <w:tblPr>
        <w:tblW w:w="9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20"/>
        <w:gridCol w:w="1217"/>
        <w:gridCol w:w="1217"/>
        <w:gridCol w:w="1217"/>
        <w:gridCol w:w="1042"/>
        <w:gridCol w:w="895"/>
        <w:gridCol w:w="222"/>
      </w:tblGrid>
      <w:tr>
        <w:trPr>
          <w:gridAfter w:val="1"/>
          <w:wAfter w:type="dxa" w:w="36"/>
          <w:trHeight w:val="600" w:hRule="atLeast"/>
          <w:jc w:val="center"/>
        </w:trPr>
        <w:tc>
          <w:tcPr>
            <w:tcW w:type="dxa" w:w="482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Račun / opis</w:t>
            </w:r>
          </w:p>
        </w:tc>
        <w:tc>
          <w:tcPr>
            <w:tcW w:type="dxa" w:w="103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000000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Izvršenje 2024.</w:t>
            </w:r>
          </w:p>
        </w:tc>
        <w:tc>
          <w:tcPr>
            <w:tcW w:type="dxa" w:w="105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000000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Izvorni plan 2025.</w:t>
            </w:r>
          </w:p>
        </w:tc>
        <w:tc>
          <w:tcPr>
            <w:tcW w:type="dxa" w:w="109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000000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Izvršenje 2025.</w:t>
            </w:r>
          </w:p>
        </w:tc>
        <w:tc>
          <w:tcPr>
            <w:tcW w:type="dxa" w:w="104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000000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Indeks  3/1</w:t>
            </w:r>
          </w:p>
        </w:tc>
        <w:tc>
          <w:tcPr>
            <w:tcW w:type="dxa" w:w="83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000000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Indeks  3/2</w:t>
            </w:r>
          </w:p>
        </w:tc>
      </w:tr>
      <w:tr>
        <w:trPr>
          <w:trHeight w:val="255" w:hRule="atLeast"/>
          <w:jc w:val="center"/>
        </w:trPr>
        <w:tc>
          <w:tcPr>
            <w:tcW w:type="dxa" w:w="482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type="dxa" w:w="103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type="dxa" w:w="105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type="dxa" w:w="109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type="dxa" w:w="104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type="dxa" w:w="83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type="dxa" w:w="36"/>
            <w:tcBorders>
              <w:top w:val="nil"/>
              <w:left w:val="nil"/>
              <w:bottom w:val="nil"/>
              <w:right w:val="nil"/>
            </w:tcBorders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525" w:hRule="atLeast"/>
          <w:jc w:val="center"/>
        </w:trPr>
        <w:tc>
          <w:tcPr>
            <w:tcW w:type="dxa" w:w="48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000000" w:val="clear"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PRIHODI I RASHODI PREMA IZVORIMA FINANCIRANJA</w:t>
            </w:r>
          </w:p>
        </w:tc>
        <w:tc>
          <w:tcPr>
            <w:tcW w:type="dxa" w:w="10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</w:t>
            </w:r>
          </w:p>
        </w:tc>
        <w:tc>
          <w:tcPr>
            <w:tcW w:type="dxa" w:w="105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</w:t>
            </w:r>
          </w:p>
        </w:tc>
        <w:tc>
          <w:tcPr>
            <w:tcW w:type="dxa" w:w="109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</w:t>
            </w:r>
          </w:p>
        </w:tc>
        <w:tc>
          <w:tcPr>
            <w:tcW w:type="dxa" w:w="10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</w:t>
            </w:r>
          </w:p>
        </w:tc>
        <w:tc>
          <w:tcPr>
            <w:tcW w:type="dxa" w:w="8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5</w:t>
            </w:r>
          </w:p>
        </w:tc>
        <w:tc>
          <w:tcPr>
            <w:tcW w:type="dxa" w:w="36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  <w:jc w:val="center"/>
        </w:trPr>
        <w:tc>
          <w:tcPr>
            <w:tcW w:type="dxa" w:w="48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SVEUKUPNI PRIHODI</w:t>
            </w:r>
          </w:p>
        </w:tc>
        <w:tc>
          <w:tcPr>
            <w:tcW w:type="dxa" w:w="10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252.592,12</w:t>
            </w:r>
          </w:p>
        </w:tc>
        <w:tc>
          <w:tcPr>
            <w:tcW w:type="dxa" w:w="105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352.501,00</w:t>
            </w:r>
          </w:p>
        </w:tc>
        <w:tc>
          <w:tcPr>
            <w:tcW w:type="dxa" w:w="109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334.789,95</w:t>
            </w:r>
          </w:p>
        </w:tc>
        <w:tc>
          <w:tcPr>
            <w:tcW w:type="dxa" w:w="10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132,54%</w:t>
            </w:r>
          </w:p>
        </w:tc>
        <w:tc>
          <w:tcPr>
            <w:tcW w:type="dxa" w:w="8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94,98%</w:t>
            </w:r>
          </w:p>
        </w:tc>
        <w:tc>
          <w:tcPr>
            <w:tcW w:type="dxa" w:w="36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  <w:jc w:val="center"/>
        </w:trPr>
        <w:tc>
          <w:tcPr>
            <w:tcW w:type="dxa" w:w="48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I PRIMICI</w:t>
            </w:r>
          </w:p>
        </w:tc>
        <w:tc>
          <w:tcPr>
            <w:tcW w:type="dxa" w:w="10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0,15</w:t>
            </w:r>
          </w:p>
        </w:tc>
        <w:tc>
          <w:tcPr>
            <w:tcW w:type="dxa" w:w="105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1,00</w:t>
            </w:r>
          </w:p>
        </w:tc>
        <w:tc>
          <w:tcPr>
            <w:tcW w:type="dxa" w:w="109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0,33</w:t>
            </w:r>
          </w:p>
        </w:tc>
        <w:tc>
          <w:tcPr>
            <w:tcW w:type="dxa" w:w="10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220,00%</w:t>
            </w:r>
          </w:p>
        </w:tc>
        <w:tc>
          <w:tcPr>
            <w:tcW w:type="dxa" w:w="8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33,00%</w:t>
            </w:r>
          </w:p>
        </w:tc>
        <w:tc>
          <w:tcPr>
            <w:tcW w:type="dxa" w:w="36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  <w:jc w:val="center"/>
        </w:trPr>
        <w:tc>
          <w:tcPr>
            <w:tcW w:type="dxa" w:w="48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3. VLASTITI PRIHODI</w:t>
            </w:r>
          </w:p>
        </w:tc>
        <w:tc>
          <w:tcPr>
            <w:tcW w:type="dxa" w:w="10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50.453,92</w:t>
            </w:r>
          </w:p>
        </w:tc>
        <w:tc>
          <w:tcPr>
            <w:tcW w:type="dxa" w:w="105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40.000,00</w:t>
            </w:r>
          </w:p>
        </w:tc>
        <w:tc>
          <w:tcPr>
            <w:tcW w:type="dxa" w:w="109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36.323,54</w:t>
            </w:r>
          </w:p>
        </w:tc>
        <w:tc>
          <w:tcPr>
            <w:tcW w:type="dxa" w:w="10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71,99%</w:t>
            </w:r>
          </w:p>
        </w:tc>
        <w:tc>
          <w:tcPr>
            <w:tcW w:type="dxa" w:w="8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90,81%</w:t>
            </w:r>
          </w:p>
        </w:tc>
        <w:tc>
          <w:tcPr>
            <w:tcW w:type="dxa" w:w="36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  <w:jc w:val="center"/>
        </w:trPr>
        <w:tc>
          <w:tcPr>
            <w:tcW w:type="dxa" w:w="48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4. PRIHODI ZA POSEBNE NAMJENE</w:t>
            </w:r>
          </w:p>
        </w:tc>
        <w:tc>
          <w:tcPr>
            <w:tcW w:type="dxa" w:w="10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201.427,65</w:t>
            </w:r>
          </w:p>
        </w:tc>
        <w:tc>
          <w:tcPr>
            <w:tcW w:type="dxa" w:w="105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308.200,00</w:t>
            </w:r>
          </w:p>
        </w:tc>
        <w:tc>
          <w:tcPr>
            <w:tcW w:type="dxa" w:w="109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295.569,15</w:t>
            </w:r>
          </w:p>
        </w:tc>
        <w:tc>
          <w:tcPr>
            <w:tcW w:type="dxa" w:w="10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146,74%</w:t>
            </w:r>
          </w:p>
        </w:tc>
        <w:tc>
          <w:tcPr>
            <w:tcW w:type="dxa" w:w="8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95,90%</w:t>
            </w:r>
          </w:p>
        </w:tc>
        <w:tc>
          <w:tcPr>
            <w:tcW w:type="dxa" w:w="36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  <w:jc w:val="center"/>
        </w:trPr>
        <w:tc>
          <w:tcPr>
            <w:tcW w:type="dxa" w:w="48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5. POMOĆI</w:t>
            </w:r>
          </w:p>
        </w:tc>
        <w:tc>
          <w:tcPr>
            <w:tcW w:type="dxa" w:w="10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710,40</w:t>
            </w:r>
          </w:p>
        </w:tc>
        <w:tc>
          <w:tcPr>
            <w:tcW w:type="dxa" w:w="105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1.800,00</w:t>
            </w:r>
          </w:p>
        </w:tc>
        <w:tc>
          <w:tcPr>
            <w:tcW w:type="dxa" w:w="109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931,20</w:t>
            </w:r>
          </w:p>
        </w:tc>
        <w:tc>
          <w:tcPr>
            <w:tcW w:type="dxa" w:w="10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131,08%</w:t>
            </w:r>
          </w:p>
        </w:tc>
        <w:tc>
          <w:tcPr>
            <w:tcW w:type="dxa" w:w="8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51,73%</w:t>
            </w:r>
          </w:p>
        </w:tc>
        <w:tc>
          <w:tcPr>
            <w:tcW w:type="dxa" w:w="36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  <w:jc w:val="center"/>
        </w:trPr>
        <w:tc>
          <w:tcPr>
            <w:tcW w:type="dxa" w:w="48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6. DONACIJE</w:t>
            </w:r>
          </w:p>
        </w:tc>
        <w:tc>
          <w:tcPr>
            <w:tcW w:type="dxa" w:w="10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05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2.500,00</w:t>
            </w:r>
          </w:p>
        </w:tc>
        <w:tc>
          <w:tcPr>
            <w:tcW w:type="dxa" w:w="109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1.965,73</w:t>
            </w:r>
          </w:p>
        </w:tc>
        <w:tc>
          <w:tcPr>
            <w:tcW w:type="dxa" w:w="10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8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78,63%</w:t>
            </w:r>
          </w:p>
        </w:tc>
        <w:tc>
          <w:tcPr>
            <w:tcW w:type="dxa" w:w="36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  <w:jc w:val="center"/>
        </w:trPr>
        <w:tc>
          <w:tcPr>
            <w:tcW w:type="dxa" w:w="48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0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05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09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0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8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36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  <w:jc w:val="center"/>
        </w:trPr>
        <w:tc>
          <w:tcPr>
            <w:tcW w:type="dxa" w:w="48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SVEUKUPNI RASHODI</w:t>
            </w:r>
          </w:p>
        </w:tc>
        <w:tc>
          <w:tcPr>
            <w:tcW w:type="dxa" w:w="10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246.840,30</w:t>
            </w:r>
          </w:p>
        </w:tc>
        <w:tc>
          <w:tcPr>
            <w:tcW w:type="dxa" w:w="105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352.501,00</w:t>
            </w:r>
          </w:p>
        </w:tc>
        <w:tc>
          <w:tcPr>
            <w:tcW w:type="dxa" w:w="109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345.403,67</w:t>
            </w:r>
          </w:p>
        </w:tc>
        <w:tc>
          <w:tcPr>
            <w:tcW w:type="dxa" w:w="10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139,93%</w:t>
            </w:r>
          </w:p>
        </w:tc>
        <w:tc>
          <w:tcPr>
            <w:tcW w:type="dxa" w:w="8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80808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97,99%</w:t>
            </w:r>
          </w:p>
        </w:tc>
        <w:tc>
          <w:tcPr>
            <w:tcW w:type="dxa" w:w="36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  <w:jc w:val="center"/>
        </w:trPr>
        <w:tc>
          <w:tcPr>
            <w:tcW w:type="dxa" w:w="48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I PRIMICI</w:t>
            </w:r>
          </w:p>
        </w:tc>
        <w:tc>
          <w:tcPr>
            <w:tcW w:type="dxa" w:w="10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1.959,04</w:t>
            </w:r>
          </w:p>
        </w:tc>
        <w:tc>
          <w:tcPr>
            <w:tcW w:type="dxa" w:w="105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2.800,00</w:t>
            </w:r>
          </w:p>
        </w:tc>
        <w:tc>
          <w:tcPr>
            <w:tcW w:type="dxa" w:w="109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2.728,07</w:t>
            </w:r>
          </w:p>
        </w:tc>
        <w:tc>
          <w:tcPr>
            <w:tcW w:type="dxa" w:w="10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139,26%</w:t>
            </w:r>
          </w:p>
        </w:tc>
        <w:tc>
          <w:tcPr>
            <w:tcW w:type="dxa" w:w="8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97,43%</w:t>
            </w:r>
          </w:p>
        </w:tc>
        <w:tc>
          <w:tcPr>
            <w:tcW w:type="dxa" w:w="36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  <w:jc w:val="center"/>
        </w:trPr>
        <w:tc>
          <w:tcPr>
            <w:tcW w:type="dxa" w:w="48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3. VLASTITI PRIHODI</w:t>
            </w:r>
          </w:p>
        </w:tc>
        <w:tc>
          <w:tcPr>
            <w:tcW w:type="dxa" w:w="10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52.918,46</w:t>
            </w:r>
          </w:p>
        </w:tc>
        <w:tc>
          <w:tcPr>
            <w:tcW w:type="dxa" w:w="105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42.511,00</w:t>
            </w:r>
          </w:p>
        </w:tc>
        <w:tc>
          <w:tcPr>
            <w:tcW w:type="dxa" w:w="109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39.939,02</w:t>
            </w:r>
          </w:p>
        </w:tc>
        <w:tc>
          <w:tcPr>
            <w:tcW w:type="dxa" w:w="10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75,47%</w:t>
            </w:r>
          </w:p>
        </w:tc>
        <w:tc>
          <w:tcPr>
            <w:tcW w:type="dxa" w:w="8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93,95%</w:t>
            </w:r>
          </w:p>
        </w:tc>
        <w:tc>
          <w:tcPr>
            <w:tcW w:type="dxa" w:w="36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  <w:jc w:val="center"/>
        </w:trPr>
        <w:tc>
          <w:tcPr>
            <w:tcW w:type="dxa" w:w="48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4. PRIHODI ZA POSEBNE NAMJENE</w:t>
            </w:r>
          </w:p>
        </w:tc>
        <w:tc>
          <w:tcPr>
            <w:tcW w:type="dxa" w:w="10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191.962,80</w:t>
            </w:r>
          </w:p>
        </w:tc>
        <w:tc>
          <w:tcPr>
            <w:tcW w:type="dxa" w:w="105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303.710,00</w:t>
            </w:r>
          </w:p>
        </w:tc>
        <w:tc>
          <w:tcPr>
            <w:tcW w:type="dxa" w:w="109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300.651,13</w:t>
            </w:r>
          </w:p>
        </w:tc>
        <w:tc>
          <w:tcPr>
            <w:tcW w:type="dxa" w:w="10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156,62%</w:t>
            </w:r>
          </w:p>
        </w:tc>
        <w:tc>
          <w:tcPr>
            <w:tcW w:type="dxa" w:w="8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98,99%</w:t>
            </w:r>
          </w:p>
        </w:tc>
        <w:tc>
          <w:tcPr>
            <w:tcW w:type="dxa" w:w="36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  <w:jc w:val="center"/>
        </w:trPr>
        <w:tc>
          <w:tcPr>
            <w:tcW w:type="dxa" w:w="48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5. POMOĆI</w:t>
            </w:r>
          </w:p>
        </w:tc>
        <w:tc>
          <w:tcPr>
            <w:tcW w:type="dxa" w:w="10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05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1.480,00</w:t>
            </w:r>
          </w:p>
        </w:tc>
        <w:tc>
          <w:tcPr>
            <w:tcW w:type="dxa" w:w="109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119,72</w:t>
            </w:r>
          </w:p>
        </w:tc>
        <w:tc>
          <w:tcPr>
            <w:tcW w:type="dxa" w:w="10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8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8,09%</w:t>
            </w:r>
          </w:p>
        </w:tc>
        <w:tc>
          <w:tcPr>
            <w:tcW w:type="dxa" w:w="36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>
        <w:trPr>
          <w:trHeight w:val="255" w:hRule="atLeast"/>
          <w:jc w:val="center"/>
        </w:trPr>
        <w:tc>
          <w:tcPr>
            <w:tcW w:type="dxa" w:w="48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6. DONACIJE</w:t>
            </w:r>
          </w:p>
        </w:tc>
        <w:tc>
          <w:tcPr>
            <w:tcW w:type="dxa" w:w="10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05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2.000,00</w:t>
            </w:r>
          </w:p>
        </w:tc>
        <w:tc>
          <w:tcPr>
            <w:tcW w:type="dxa" w:w="109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1.965,73</w:t>
            </w:r>
          </w:p>
        </w:tc>
        <w:tc>
          <w:tcPr>
            <w:tcW w:type="dxa" w:w="10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0,00%</w:t>
            </w:r>
          </w:p>
        </w:tc>
        <w:tc>
          <w:tcPr>
            <w:tcW w:type="dxa" w:w="8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98,29%</w:t>
            </w:r>
          </w:p>
        </w:tc>
        <w:tc>
          <w:tcPr>
            <w:tcW w:type="dxa" w:w="36"/>
            <w:tcBorders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60310ABD">
      <w:pPr>
        <w:spacing/>
        <w:jc w:val="center"/>
        <w:rPr/>
      </w:pPr>
    </w:p>
    <w:p w14:paraId="5E524215">
      <w:pPr>
        <w:spacing/>
        <w:jc w:val="center"/>
        <w:rPr/>
      </w:pPr>
    </w:p>
    <w:p w14:paraId="5B5F70FE">
      <w:pPr>
        <w:spacing/>
        <w:jc w:val="center"/>
        <w:rPr/>
      </w:pPr>
    </w:p>
    <w:p w14:paraId="4F443833">
      <w:pPr>
        <w:spacing/>
        <w:jc w:val="center"/>
        <w:rPr/>
      </w:pPr>
    </w:p>
    <w:p w14:paraId="5C347C52">
      <w:pPr>
        <w:spacing/>
        <w:jc w:val="center"/>
        <w:rPr/>
      </w:pPr>
    </w:p>
    <w:tbl>
      <w:tblPr>
        <w:tblW w:w="12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040"/>
      </w:tblGrid>
      <w:tr>
        <w:trPr>
          <w:trHeight w:val="360" w:hRule="atLeast"/>
          <w:jc w:val="center"/>
        </w:trPr>
        <w:tc>
          <w:tcPr>
            <w:tcW w:type="dxa" w:w="12040"/>
            <w:tcBorders>
              <w:top w:val="nil"/>
              <w:left w:val="nil"/>
              <w:bottom w:val="nil"/>
              <w:right w:val="nil"/>
            </w:tcBorders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 xml:space="preserve">Rashodi prema funkcijskoj klasifikaciji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2040"/>
            <w:tcBorders>
              <w:top w:val="nil"/>
              <w:left w:val="nil"/>
              <w:bottom w:val="nil"/>
              <w:right w:val="nil"/>
            </w:tcBorders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Za razdoblje od 01.01.2025. do 31.12.2025.</w:t>
            </w:r>
          </w:p>
        </w:tc>
      </w:tr>
    </w:tbl>
    <w:p w14:paraId="5B225827">
      <w:pPr>
        <w:spacing/>
        <w:jc w:val="center"/>
        <w:rPr/>
      </w:pPr>
    </w:p>
    <w:tbl>
      <w:tblPr>
        <w:tblW w:w="12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00"/>
        <w:gridCol w:w="1340"/>
        <w:gridCol w:w="1480"/>
        <w:gridCol w:w="1260"/>
        <w:gridCol w:w="1006"/>
        <w:gridCol w:w="920"/>
      </w:tblGrid>
      <w:tr>
        <w:trPr>
          <w:trHeight w:val="255" w:hRule="atLeast"/>
          <w:jc w:val="center"/>
        </w:trPr>
        <w:tc>
          <w:tcPr>
            <w:tcW w:type="dxa" w:w="61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Račun/Opis</w:t>
            </w:r>
          </w:p>
        </w:tc>
        <w:tc>
          <w:tcPr>
            <w:tcW w:type="dxa" w:w="134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Izvršenje 2024</w:t>
            </w:r>
          </w:p>
        </w:tc>
        <w:tc>
          <w:tcPr>
            <w:tcW w:type="dxa" w:w="14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Izvorni plan 2025</w:t>
            </w:r>
          </w:p>
        </w:tc>
        <w:tc>
          <w:tcPr>
            <w:tcW w:type="dxa" w:w="12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Izvršenje 2025</w:t>
            </w:r>
          </w:p>
        </w:tc>
        <w:tc>
          <w:tcPr>
            <w:tcW w:type="dxa" w:w="100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Indeks 3/1</w:t>
            </w:r>
          </w:p>
        </w:tc>
        <w:tc>
          <w:tcPr>
            <w:tcW w:type="dxa" w:w="9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Indeks 3/2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1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34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</w:t>
            </w:r>
          </w:p>
        </w:tc>
        <w:tc>
          <w:tcPr>
            <w:tcW w:type="dxa" w:w="14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</w:t>
            </w:r>
          </w:p>
        </w:tc>
        <w:tc>
          <w:tcPr>
            <w:tcW w:type="dxa" w:w="12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</w:t>
            </w:r>
          </w:p>
        </w:tc>
        <w:tc>
          <w:tcPr>
            <w:tcW w:type="dxa" w:w="100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</w:t>
            </w:r>
          </w:p>
        </w:tc>
        <w:tc>
          <w:tcPr>
            <w:tcW w:type="dxa" w:w="9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5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1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Funkcijska klasifikacija  SVEUKUPNI RASHODI</w:t>
            </w:r>
          </w:p>
        </w:tc>
        <w:tc>
          <w:tcPr>
            <w:tcW w:type="dxa" w:w="134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246.840,30</w:t>
            </w:r>
          </w:p>
        </w:tc>
        <w:tc>
          <w:tcPr>
            <w:tcW w:type="dxa" w:w="14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352.501,00</w:t>
            </w:r>
          </w:p>
        </w:tc>
        <w:tc>
          <w:tcPr>
            <w:tcW w:type="dxa" w:w="12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345.403,67</w:t>
            </w:r>
          </w:p>
        </w:tc>
        <w:tc>
          <w:tcPr>
            <w:tcW w:type="dxa" w:w="100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139,93%</w:t>
            </w:r>
          </w:p>
        </w:tc>
        <w:tc>
          <w:tcPr>
            <w:tcW w:type="dxa" w:w="9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97,99%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1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9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Funkcijska klasifikacija 09 Obrazovanje</w:t>
            </w:r>
          </w:p>
        </w:tc>
        <w:tc>
          <w:tcPr>
            <w:tcW w:type="dxa" w:w="134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246.840,30</w:t>
            </w:r>
          </w:p>
        </w:tc>
        <w:tc>
          <w:tcPr>
            <w:tcW w:type="dxa" w:w="14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352.501,00</w:t>
            </w:r>
          </w:p>
        </w:tc>
        <w:tc>
          <w:tcPr>
            <w:tcW w:type="dxa" w:w="12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345.403,67</w:t>
            </w:r>
          </w:p>
        </w:tc>
        <w:tc>
          <w:tcPr>
            <w:tcW w:type="dxa" w:w="100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139,93%</w:t>
            </w:r>
          </w:p>
        </w:tc>
        <w:tc>
          <w:tcPr>
            <w:tcW w:type="dxa" w:w="9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97,99%</w:t>
            </w:r>
          </w:p>
        </w:tc>
      </w:tr>
      <w:tr>
        <w:trPr>
          <w:trHeight w:val="300" w:hRule="atLeast"/>
          <w:jc w:val="center"/>
        </w:trPr>
        <w:tc>
          <w:tcPr>
            <w:tcW w:type="dxa" w:w="61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33CCCC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Funkcijska klasifikacija 091 Predškolsko i osnovno obrazovanje</w:t>
            </w:r>
          </w:p>
        </w:tc>
        <w:tc>
          <w:tcPr>
            <w:tcW w:type="dxa" w:w="134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33CCCC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246.840,30</w:t>
            </w:r>
          </w:p>
        </w:tc>
        <w:tc>
          <w:tcPr>
            <w:tcW w:type="dxa" w:w="14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33CCCC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352.501,00</w:t>
            </w:r>
          </w:p>
        </w:tc>
        <w:tc>
          <w:tcPr>
            <w:tcW w:type="dxa" w:w="12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33CCCC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345.403,67</w:t>
            </w:r>
          </w:p>
        </w:tc>
        <w:tc>
          <w:tcPr>
            <w:tcW w:type="dxa" w:w="100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33CCCC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139,93%</w:t>
            </w:r>
          </w:p>
        </w:tc>
        <w:tc>
          <w:tcPr>
            <w:tcW w:type="dxa" w:w="9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33CCCC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97,99%</w:t>
            </w:r>
          </w:p>
        </w:tc>
      </w:tr>
    </w:tbl>
    <w:p w14:paraId="43D9E88F">
      <w:pPr>
        <w:spacing/>
        <w:jc w:val="center"/>
        <w:rPr/>
      </w:pPr>
    </w:p>
    <w:p w14:paraId="179F62A6">
      <w:pPr>
        <w:spacing/>
        <w:jc w:val="center"/>
        <w:rPr/>
      </w:pPr>
    </w:p>
    <w:p w14:paraId="602FAE31">
      <w:pPr>
        <w:spacing/>
        <w:jc w:val="center"/>
        <w:rPr/>
      </w:pPr>
    </w:p>
    <w:p w14:paraId="7BB80F78">
      <w:pPr>
        <w:spacing/>
        <w:jc w:val="center"/>
        <w:rPr/>
      </w:pPr>
    </w:p>
    <w:p w14:paraId="483F4318">
      <w:pPr>
        <w:spacing/>
        <w:jc w:val="center"/>
        <w:rPr/>
      </w:pPr>
    </w:p>
    <w:p w14:paraId="4DAE5329">
      <w:pPr>
        <w:spacing/>
        <w:jc w:val="center"/>
        <w:rPr/>
      </w:pPr>
    </w:p>
    <w:p w14:paraId="63B52EC4">
      <w:pPr>
        <w:spacing/>
        <w:jc w:val="center"/>
        <w:rPr/>
      </w:pPr>
    </w:p>
    <w:p w14:paraId="1D73DAC3">
      <w:pPr>
        <w:spacing/>
        <w:jc w:val="center"/>
        <w:rPr/>
      </w:pPr>
    </w:p>
    <w:p w14:paraId="04B907C2">
      <w:pPr>
        <w:spacing/>
        <w:jc w:val="center"/>
        <w:rPr/>
      </w:pPr>
    </w:p>
    <w:p w14:paraId="3704872E">
      <w:pPr>
        <w:spacing/>
        <w:jc w:val="center"/>
        <w:rPr/>
      </w:pPr>
    </w:p>
    <w:p w14:paraId="1F204169">
      <w:pPr>
        <w:spacing/>
        <w:jc w:val="center"/>
        <w:rPr/>
      </w:pPr>
    </w:p>
    <w:p w14:paraId="6EF7C243">
      <w:pPr>
        <w:spacing/>
        <w:jc w:val="center"/>
        <w:rPr/>
      </w:pPr>
    </w:p>
    <w:p w14:paraId="275033B9">
      <w:pPr>
        <w:spacing/>
        <w:jc w:val="center"/>
        <w:rPr/>
      </w:pPr>
    </w:p>
    <w:p w14:paraId="1E823871">
      <w:pPr>
        <w:spacing/>
        <w:jc w:val="center"/>
        <w:rPr/>
      </w:pPr>
    </w:p>
    <w:p w14:paraId="42B7BD8D">
      <w:pPr>
        <w:spacing w:after="0" w:line="240" w:lineRule="auto"/>
        <w:jc w:val="center"/>
        <w:rPr>
          <w:rFonts w:ascii="Arial" w:hAnsi="Arial" w:eastAsia="Times New Roman" w:cs="Arial"/>
          <w:b/>
          <w:bCs/>
          <w:kern w:val="0"/>
          <w:sz w:val="28"/>
          <w:szCs w:val="28"/>
          <w:lang w:eastAsia="hr-HR"/>
          <w14:ligatures w14:val="none"/>
        </w:rPr>
      </w:pPr>
      <w:r>
        <w:rPr>
          <w:rFonts w:ascii="Arial" w:hAnsi="Arial" w:eastAsia="Times New Roman" w:cs="Arial"/>
          <w:b/>
          <w:bCs/>
          <w:kern w:val="0"/>
          <w:sz w:val="28"/>
          <w:szCs w:val="28"/>
          <w:lang w:eastAsia="hr-HR"/>
          <w14:ligatures w14:val="none"/>
        </w:rPr>
        <w:t xml:space="preserve">II. POSEBNI DIO</w:t>
      </w:r>
    </w:p>
    <w:p w14:paraId="5B2EC3F8">
      <w:pPr>
        <w:spacing w:after="0" w:line="240" w:lineRule="auto"/>
        <w:jc w:val="center"/>
        <w:rPr>
          <w:rFonts w:ascii="Arial" w:hAnsi="Arial" w:eastAsia="Times New Roman" w:cs="Arial"/>
          <w:b/>
          <w:bCs/>
          <w:kern w:val="0"/>
          <w:sz w:val="28"/>
          <w:szCs w:val="28"/>
          <w:lang w:eastAsia="hr-HR"/>
          <w14:ligatures w14:val="none"/>
        </w:rPr>
      </w:pPr>
      <w:r>
        <w:rPr>
          <w:rFonts w:ascii="Arial" w:hAnsi="Arial" w:eastAsia="Times New Roman" w:cs="Arial"/>
          <w:b/>
          <w:bCs/>
          <w:kern w:val="0"/>
          <w:sz w:val="28"/>
          <w:szCs w:val="28"/>
          <w:lang w:eastAsia="hr-HR"/>
          <w14:ligatures w14:val="none"/>
        </w:rPr>
        <w:t xml:space="preserve">Izvještaj po organizacijskoj klasifikaciji</w:t>
      </w:r>
    </w:p>
    <w:p w14:paraId="695EE531">
      <w:pPr>
        <w:spacing/>
        <w:jc w:val="center"/>
        <w:rPr>
          <w:rFonts w:ascii="Arial" w:hAnsi="Arial" w:eastAsia="Times New Roman" w:cs="Arial"/>
          <w:kern w:val="0"/>
          <w:sz w:val="20"/>
          <w:szCs w:val="20"/>
          <w:lang w:eastAsia="hr-HR"/>
          <w14:ligatures w14:val="none"/>
        </w:rPr>
      </w:pPr>
      <w:r>
        <w:rPr>
          <w:rFonts w:ascii="Arial" w:hAnsi="Arial" w:eastAsia="Times New Roman" w:cs="Arial"/>
          <w:kern w:val="0"/>
          <w:sz w:val="20"/>
          <w:szCs w:val="20"/>
          <w:lang w:eastAsia="hr-HR"/>
          <w14:ligatures w14:val="none"/>
        </w:rPr>
        <w:t xml:space="preserve">Za razdoblje od 01.01.202</w:t>
      </w:r>
      <w:r>
        <w:rPr>
          <w:rFonts w:ascii="Arial" w:hAnsi="Arial" w:eastAsia="Times New Roman" w:cs="Arial"/>
          <w:kern w:val="0"/>
          <w:sz w:val="20"/>
          <w:szCs w:val="20"/>
          <w:lang w:eastAsia="hr-HR"/>
          <w14:ligatures w14:val="none"/>
        </w:rPr>
        <w:t xml:space="preserve">5</w:t>
      </w:r>
      <w:r>
        <w:rPr>
          <w:rFonts w:ascii="Arial" w:hAnsi="Arial" w:eastAsia="Times New Roman" w:cs="Arial"/>
          <w:kern w:val="0"/>
          <w:sz w:val="20"/>
          <w:szCs w:val="20"/>
          <w:lang w:eastAsia="hr-HR"/>
          <w14:ligatures w14:val="none"/>
        </w:rPr>
        <w:t xml:space="preserve">. do 31.12.202</w:t>
      </w:r>
      <w:r>
        <w:rPr>
          <w:rFonts w:ascii="Arial" w:hAnsi="Arial" w:eastAsia="Times New Roman" w:cs="Arial"/>
          <w:kern w:val="0"/>
          <w:sz w:val="20"/>
          <w:szCs w:val="20"/>
          <w:lang w:eastAsia="hr-HR"/>
          <w14:ligatures w14:val="none"/>
        </w:rPr>
        <w:t xml:space="preserve">5.</w:t>
      </w:r>
    </w:p>
    <w:p w14:paraId="17518D72">
      <w:pPr>
        <w:spacing/>
        <w:jc w:val="center"/>
        <w:rPr>
          <w:rFonts w:ascii="Arial" w:hAnsi="Arial" w:eastAsia="Times New Roman" w:cs="Arial"/>
          <w:kern w:val="0"/>
          <w:sz w:val="20"/>
          <w:szCs w:val="20"/>
          <w:lang w:eastAsia="hr-HR"/>
          <w14:ligatures w14:val="none"/>
        </w:rPr>
      </w:pPr>
    </w:p>
    <w:tbl>
      <w:tblPr>
        <w:tblW w:w="107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34"/>
        <w:gridCol w:w="4306"/>
        <w:gridCol w:w="1642"/>
        <w:gridCol w:w="1387"/>
        <w:gridCol w:w="998"/>
      </w:tblGrid>
      <w:tr>
        <w:trPr>
          <w:trHeight w:val="255" w:hRule="atLeast"/>
          <w:jc w:val="center"/>
        </w:trPr>
        <w:tc>
          <w:tcPr>
            <w:tcW w:type="dxa" w:w="24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type="dxa" w:w="430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type="dxa" w:w="16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Izvorni plan 2025</w:t>
            </w:r>
          </w:p>
        </w:tc>
        <w:tc>
          <w:tcPr>
            <w:tcW w:type="dxa" w:w="138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Izvršenje 2025</w:t>
            </w:r>
          </w:p>
        </w:tc>
        <w:tc>
          <w:tcPr>
            <w:tcW w:type="dxa" w:w="99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Indeks 2/1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6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</w:t>
            </w:r>
          </w:p>
        </w:tc>
        <w:tc>
          <w:tcPr>
            <w:tcW w:type="dxa" w:w="138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</w:t>
            </w:r>
          </w:p>
        </w:tc>
        <w:tc>
          <w:tcPr>
            <w:tcW w:type="dxa" w:w="99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UKUPNO RASHODI I IZDATCI</w:t>
            </w:r>
          </w:p>
        </w:tc>
        <w:tc>
          <w:tcPr>
            <w:tcW w:type="dxa" w:w="16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352.501,00</w:t>
            </w:r>
          </w:p>
        </w:tc>
        <w:tc>
          <w:tcPr>
            <w:tcW w:type="dxa" w:w="138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345.403,67</w:t>
            </w:r>
          </w:p>
        </w:tc>
        <w:tc>
          <w:tcPr>
            <w:tcW w:type="dxa" w:w="99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97,99%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RAZDJEL 002 JEDINSTVENI UPRAVNI ODJEL</w:t>
            </w:r>
          </w:p>
        </w:tc>
        <w:tc>
          <w:tcPr>
            <w:tcW w:type="dxa" w:w="16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352.501,00</w:t>
            </w:r>
          </w:p>
        </w:tc>
        <w:tc>
          <w:tcPr>
            <w:tcW w:type="dxa" w:w="138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345.403,67</w:t>
            </w:r>
          </w:p>
        </w:tc>
        <w:tc>
          <w:tcPr>
            <w:tcW w:type="dxa" w:w="99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97,99%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GLAVA 00202 ODGOJ I OBRAZOVANJE</w:t>
            </w:r>
          </w:p>
        </w:tc>
        <w:tc>
          <w:tcPr>
            <w:tcW w:type="dxa" w:w="16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352.501,00</w:t>
            </w:r>
          </w:p>
        </w:tc>
        <w:tc>
          <w:tcPr>
            <w:tcW w:type="dxa" w:w="138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345.403,67</w:t>
            </w:r>
          </w:p>
        </w:tc>
        <w:tc>
          <w:tcPr>
            <w:tcW w:type="dxa" w:w="99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97,99%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PROR. KORISNIK 29994 DJEČJI VRTIĆ MORSKI KONJIĆ</w:t>
            </w:r>
          </w:p>
        </w:tc>
        <w:tc>
          <w:tcPr>
            <w:tcW w:type="dxa" w:w="164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352.501,00</w:t>
            </w:r>
          </w:p>
        </w:tc>
        <w:tc>
          <w:tcPr>
            <w:tcW w:type="dxa" w:w="138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345.403,67</w:t>
            </w:r>
          </w:p>
        </w:tc>
        <w:tc>
          <w:tcPr>
            <w:tcW w:type="dxa" w:w="99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97,99%</w:t>
            </w:r>
          </w:p>
        </w:tc>
      </w:tr>
    </w:tbl>
    <w:p w14:paraId="1BB10CE3">
      <w:pPr>
        <w:spacing/>
        <w:jc w:val="center"/>
        <w:rPr>
          <w:rFonts w:ascii="Arial" w:hAnsi="Arial" w:eastAsia="Times New Roman" w:cs="Arial"/>
          <w:kern w:val="0"/>
          <w:sz w:val="20"/>
          <w:szCs w:val="20"/>
          <w:lang w:eastAsia="hr-HR"/>
          <w14:ligatures w14:val="none"/>
        </w:rPr>
      </w:pPr>
    </w:p>
    <w:p w14:paraId="0A9A3464">
      <w:pPr>
        <w:spacing/>
        <w:rPr/>
      </w:pPr>
    </w:p>
    <w:p w14:paraId="4B1CB571">
      <w:pPr>
        <w:spacing/>
        <w:rPr/>
      </w:pPr>
    </w:p>
    <w:p w14:paraId="19EC7E32">
      <w:pPr>
        <w:spacing/>
        <w:rPr/>
      </w:pPr>
    </w:p>
    <w:p w14:paraId="6A449468">
      <w:pPr>
        <w:spacing/>
        <w:rPr/>
      </w:pPr>
    </w:p>
    <w:p w14:paraId="2D59668B">
      <w:pPr>
        <w:spacing/>
        <w:rPr/>
      </w:pPr>
    </w:p>
    <w:p w14:paraId="28DD411E">
      <w:pPr>
        <w:spacing/>
        <w:rPr/>
      </w:pPr>
    </w:p>
    <w:p w14:paraId="6FB716CA">
      <w:pPr>
        <w:spacing/>
        <w:rPr/>
      </w:pPr>
    </w:p>
    <w:p w14:paraId="2F296512">
      <w:pPr>
        <w:spacing/>
        <w:rPr/>
      </w:pPr>
    </w:p>
    <w:p w14:paraId="2D16CC64">
      <w:pPr>
        <w:spacing/>
        <w:rPr/>
      </w:pPr>
    </w:p>
    <w:p w14:paraId="033A2708">
      <w:pPr>
        <w:spacing/>
        <w:rPr/>
      </w:pPr>
    </w:p>
    <w:p w14:paraId="11D93618">
      <w:pPr>
        <w:spacing/>
        <w:rPr/>
      </w:pPr>
    </w:p>
    <w:p w14:paraId="089130BB">
      <w:pPr>
        <w:spacing/>
        <w:rPr/>
      </w:pPr>
    </w:p>
    <w:tbl>
      <w:tblPr>
        <w:tblW w:w="10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00"/>
      </w:tblGrid>
      <w:tr>
        <w:trPr>
          <w:trHeight w:val="360" w:hRule="atLeast"/>
          <w:jc w:val="center"/>
        </w:trPr>
        <w:tc>
          <w:tcPr>
            <w:tcW w:type="dxa" w:w="10100"/>
            <w:tcBorders>
              <w:top w:val="nil"/>
              <w:left w:val="nil"/>
              <w:bottom w:val="nil"/>
              <w:right w:val="nil"/>
            </w:tcBorders>
            <w:noWrap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 xml:space="preserve">Izvršenje po programskoj klasifikaciji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0100"/>
            <w:tcBorders>
              <w:top w:val="nil"/>
              <w:left w:val="nil"/>
              <w:bottom w:val="nil"/>
              <w:right w:val="nil"/>
            </w:tcBorders>
            <w:noWrap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Za razdoblje od 01.01.2025. do 31.12.2025.</w:t>
            </w:r>
          </w:p>
        </w:tc>
      </w:tr>
    </w:tbl>
    <w:p w14:paraId="419B127C">
      <w:pPr>
        <w:spacing/>
        <w:rPr/>
      </w:pPr>
    </w:p>
    <w:p w14:paraId="4DEC08A3">
      <w:pPr>
        <w:spacing/>
        <w:rPr>
          <w:sz w:val="24"/>
          <w:szCs w:val="24"/>
        </w:rPr>
      </w:pPr>
      <w:r>
        <w:rPr/>
        <w:fldChar w:fldCharType="begin"/>
      </w:r>
      <w:r>
        <w:rPr/>
        <w:instrText xml:space="preserve"> LINK Excel.Sheet.8 "C:\\Users\\TAJNISTVO\\Documents\\Klara\\financiranje boravka 2026\\financijski izvještaj\\Ispis izvršenja proračuna.xls" "Izvršenje po programskoj klasif!R9C1:R79C14" \a \f 4 \h </w:instrText>
      </w:r>
      <w:r>
        <w:rPr/>
        <w:fldChar w:fldCharType="separate"/>
      </w:r>
    </w:p>
    <w:tbl>
      <w:tblPr>
        <w:tblW w:w="10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61"/>
        <w:gridCol w:w="4991"/>
        <w:gridCol w:w="1217"/>
        <w:gridCol w:w="1220"/>
        <w:gridCol w:w="1006"/>
      </w:tblGrid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Organizacijska klasifikacija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540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Projekt/Aktivnost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VRSTA RASHODA I IZDATAKA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Izvorni plan 2025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Izvršenje 2025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Indeks 2/1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69696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UKUPNO RASHODI I IZDATCI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352.501,00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345.403,67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0C0C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97,99%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RAZDJEL 002 JEDINSTVENI UPRAVNI ODJEL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352.501,00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345.403,67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97,99%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GLAVA 00202 ODGOJ I OBRAZOVANJE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352.501,00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345.403,67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97,99%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PROR. KORISNIK 29994 DJEČJI VRTIĆ MORSKI KONJIĆ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352.501,00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345.403,67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9999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97,99%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I PRIMICI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2.800,00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2.728,07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97,43%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1.1. OPĆI PRIHODI I PRIMICI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2.800,00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2.728,07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97,43%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3. VLASTITI PRIHODI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42.511,00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39.939,02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93,95%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3.1. VLASTITI PRIHODI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42.511,00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39.939,02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93,95%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4. PRIHODI ZA POSEBNE NAMJENE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303.710,00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300.651,13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98,99%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4.3. OSTALI PRIHODI ZA POSEBNE NAMJENE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303.710,00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300.651,13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98,99%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5. POMOĆI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1.480,00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119,72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8,09%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5.1. POMOĆI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1.480,00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119,72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8,09%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6. DONACIJE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2.000,00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1.965,73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98,29%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6.1. DONACIJE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2.000,00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1.965,73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98,29%</w:t>
            </w:r>
          </w:p>
        </w:tc>
      </w:tr>
      <w:tr>
        <w:trPr>
          <w:trHeight w:val="480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9900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1000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9900" w:color="000000" w:val="clear"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Odgojno-obrazovni program djece rane i predškolske dobi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99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352.501,00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99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345.403,67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9900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97,99%</w:t>
            </w:r>
          </w:p>
        </w:tc>
      </w:tr>
      <w:tr>
        <w:trPr>
          <w:trHeight w:val="540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99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A100001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99" w:color="000000" w:val="clear"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Odgojno-obrazovni program djece rane i predškolske dobi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99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352.501,00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99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345.403,67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FFFF99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97,99%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I PRIMICI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2.800,00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2.728,07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97,43%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1.1. OPĆI PRIHODI I PRIMICI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2.800,00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2.728,07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97,43%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32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Materijalni rashodi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2.800,00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2.728,07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97,43%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3214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Ostale naknade troškova zaposlenima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785,20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3292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Premije osiguranja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300,00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3299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Ostali nespomenuti rashodi poslovanja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1.642,87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3. VLASTITI PRIHODI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42.511,00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39.939,02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93,95%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3.1. VLASTITI PRIHODI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42.511,00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39.939,02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93,95%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32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Materijalni rashodi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42.511,00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39.911,63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93,89%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3221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Uredski materijal i ostali materijalni rashodi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5.663,18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3222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Materijal i sirovine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26.134,17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3223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Energija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3.583,80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3225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Sitni inventar i </w:t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autogume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70,19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3227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Službena, radna i zaštitna odjeća i obuća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643,94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3231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Usluge telefona, interneta, pošte i prijevoza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579,27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3237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Intelektualne i osobne usluge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3.237,08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34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Financijski rashodi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27,39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3433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Zatezne kamate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27,39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4. PRIHODI ZA POSEBNE NAMJENE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303.710,00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300.651,13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98,99%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4.3. OSTALI PRIHODI ZA POSEBNE NAMJENE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303.710,00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300.651,13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98,99%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31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za zaposlene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274.000,00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275.397,68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100,51%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3111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Plaće za redovan rad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232.817,69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3121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Ostali rashodi za zaposlene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8.160,00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3132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Doprinosi za obvezno zdravstveno osiguranje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34.419,99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32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Materijalni rashodi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24.500,00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20.464,84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83,53%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3211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Službena putovanja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992,93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3212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Naknade za prijevoz, za rad na terenu i odvojeni život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8.989,57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3213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Stručno usavršavanje zaposlenika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571,50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3224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Materijal i dijelovi za tekuće i investicijsko održavanje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212,52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3232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Usluge tekućeg i investicijskog  održavanja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155,00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3233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Usluge promidžbe i informiranja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1.870,00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3234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Komunalne usluge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1.515,67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3236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Zdravstvene i veterinarske usluge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219,00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3238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Računalne usluge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2.194,61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3239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Ostale usluge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3.371,38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3293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Reprezentacija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31,50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3295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Pristojbe i naknade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341,16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34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Financijski rashodi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1.800,00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1.369,07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76,06%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3431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Bankarske usluge i usluge platnog prometa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749,59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3434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Ostali nespomenuti financijski rashodi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619,48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52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42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proizvedene dugotrajne imovine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3.410,00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3.419,54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100,28%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4221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Uredska oprema i namještaj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3.225,07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4227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Uređaji, strojevi i oprema za ostale namjene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194,47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5. POMOĆI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1.480,00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119,72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8,09%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5.1. POMOĆI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1.480,00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119,72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8,09%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32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Materijalni rashodi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1.480,00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119,72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8,09%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3223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Energija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119,72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6. DONACIJE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2.000,00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1.965,73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98,29%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674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6.1. DONACIJE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2.000,00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1.965,73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CCCCFF" w:color="000000" w:val="clear"/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98,29%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32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Materijalni rashodi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2.000,00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1.965,73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98,29%</w:t>
            </w:r>
          </w:p>
        </w:tc>
      </w:tr>
      <w:tr>
        <w:trPr>
          <w:trHeight w:val="255" w:hRule="atLeast"/>
          <w:jc w:val="center"/>
        </w:trPr>
        <w:tc>
          <w:tcPr>
            <w:tcW w:type="dxa" w:w="17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3221</w:t>
            </w:r>
          </w:p>
        </w:tc>
        <w:tc>
          <w:tcPr>
            <w:tcW w:type="dxa" w:w="499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Uredski materijal i ostali materijalni rashodi</w:t>
            </w:r>
          </w:p>
        </w:tc>
        <w:tc>
          <w:tcPr>
            <w:tcW w:type="dxa" w:w="118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  <w:tc>
          <w:tcPr>
            <w:tcW w:type="dxa" w:w="12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1.965,73</w:t>
            </w:r>
          </w:p>
        </w:tc>
        <w:tc>
          <w:tcPr>
            <w:tcW w:type="dxa" w:w="96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</w:t>
            </w:r>
          </w:p>
        </w:tc>
      </w:tr>
    </w:tbl>
    <w:p w14:paraId="3D879A3D">
      <w:pPr>
        <w:spacing/>
        <w:rPr/>
      </w:pPr>
      <w:r>
        <w:rPr/>
        <w:fldChar w:fldCharType="end"/>
      </w:r>
    </w:p>
    <w:p w14:paraId="0E2EA267">
      <w:pPr>
        <w:spacing/>
        <w:rPr/>
      </w:pPr>
    </w:p>
    <w:p w14:paraId="0DE0337E">
      <w:pPr>
        <w:spacing/>
        <w:rPr/>
      </w:pPr>
    </w:p>
    <w:p w14:paraId="3835D243">
      <w:pPr>
        <w:spacing/>
        <w:rPr/>
      </w:pPr>
    </w:p>
    <w:p w14:paraId="62384706">
      <w:pPr>
        <w:spacing/>
        <w:rPr>
          <w:rFonts w:ascii="Times New Roman" w:hAnsi="Times New Roman" w:cs="Times New Roman"/>
          <w:sz w:val="24"/>
          <w:szCs w:val="24"/>
        </w:rPr>
      </w:pPr>
    </w:p>
    <w:p w14:paraId="5731363D"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Godišnji izvještaj o izvršenju Financijskog plana Dječjeg vrtića „Morski konjić“ za 2025. godinu objavit će se na web stranici Dječjeg vrtića „Morski konjić“ www.dv-morskikonjic.hr.</w:t>
      </w:r>
    </w:p>
    <w:p w14:paraId="15FAA6DE"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UPRAVNOG VIJEĆA</w:t>
      </w:r>
    </w:p>
    <w:p w14:paraId="4BE04AEB"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Mladen Buvinić</w:t>
      </w:r>
    </w:p>
    <w:p w14:paraId="1DD388BB">
      <w:pPr>
        <w:spacing/>
        <w:rPr>
          <w:rFonts w:ascii="Times New Roman" w:hAnsi="Times New Roman" w:cs="Times New Roman"/>
          <w:sz w:val="24"/>
          <w:szCs w:val="24"/>
        </w:rPr>
      </w:pPr>
    </w:p>
    <w:sectPr>
      <w:type w:val="nextPage"/>
      <w:pgSz w:w="16838" w:h="11906" w:orient="landscape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496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72727"/>
      <w:sz w:val="24"/>
      <w:szCs w:val="24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2F5496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2F5496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eastAsiaTheme="majorEastAsia" w:cstheme="majorBidi"/>
      <w:i/>
      <w:iCs/>
      <w:color w:val="2F5496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2F5496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 w:line="278" w:lineRule="auto"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 w:line="278" w:lineRule="auto"/>
      <w:jc w:val="center"/>
    </w:pPr>
    <w:rPr>
      <w:i/>
      <w:iCs/>
      <w:color w:val="404040"/>
      <w:sz w:val="24"/>
      <w:szCs w:val="24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 w:customStyle="1">
    <w:name w:val="Intense Emphasis"/>
    <w:basedOn w:val="Zadanifontodlomka"/>
    <w:uiPriority w:val="21"/>
    <w:qFormat/>
    <w:rPr>
      <w:i/>
      <w:iCs/>
      <w:color w:val="2F5496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pBdr>
        <w:top w:val="single" w:color="2F5496" w:sz="4" w:space="10"/>
        <w:bottom w:val="single" w:color="2F5496" w:sz="4" w:space="10"/>
      </w:pBdr>
      <w:spacing w:before="360" w:after="360" w:line="278" w:lineRule="auto"/>
      <w:ind w:left="864" w:right="864"/>
      <w:jc w:val="center"/>
    </w:pPr>
    <w:rPr>
      <w:i/>
      <w:iCs/>
      <w:color w:val="2F5496"/>
      <w:sz w:val="24"/>
      <w:szCs w:val="24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i/>
      <w:iCs/>
      <w:color w:val="2F5496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2F5496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11</Pages>
  <Words>2140</Words>
  <Characters>12199</Characters>
  <Application>Microsoft Office Word</Application>
  <DocSecurity>0</DocSecurity>
  <Lines>101</Lines>
  <Paragraphs>28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Općina Podgora</dc:creator>
  <cp:keywords/>
  <dc:description/>
  <cp:lastModifiedBy>Vrtic Podgora</cp:lastModifiedBy>
  <cp:revision>2</cp:revision>
  <dcterms:created xsi:type="dcterms:W3CDTF">2026-04-14T05:37:00Z</dcterms:created>
  <dcterms:modified xsi:type="dcterms:W3CDTF">2026-04-14T05:37:00Z</dcterms:modified>
</cp:coreProperties>
</file>