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22660" w14:paraId="0DB95338" w14:textId="77777777">
        <w:tc>
          <w:tcPr>
            <w:tcW w:w="6379" w:type="dxa"/>
            <w:hideMark/>
          </w:tcPr>
          <w:p w14:paraId="45327C8A" w14:textId="77777777" w:rsidR="00322660" w:rsidRDefault="00000000">
            <w:pPr>
              <w:spacing w:after="160" w:line="256" w:lineRule="auto"/>
              <w:rPr>
                <w:rFonts w:ascii="Times New Roman" w:hAnsi="Times New Roman" w:cs="Times New Roman"/>
                <w:b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 xml:space="preserve">DJEČJI VRTIĆ „MORSKI KONJIĆ“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Put sv. Vicenca 1, 21327 Podgora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>400-01/26-01/6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2147-5-26-1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Podgora, 17.04.2026.</w:t>
            </w:r>
          </w:p>
        </w:tc>
        <w:tc>
          <w:tcPr>
            <w:tcW w:w="2693" w:type="dxa"/>
            <w:hideMark/>
          </w:tcPr>
          <w:p w14:paraId="3CE08E21" w14:textId="77777777" w:rsidR="00322660" w:rsidRDefault="00000000"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455B1E6" wp14:editId="66966BAA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0"/>
      </w:tr>
    </w:tbl>
    <w:p w14:paraId="19BA4CE9" w14:textId="77777777" w:rsidR="00322660" w:rsidRDefault="00322660">
      <w:pPr>
        <w:rPr>
          <w:rFonts w:cstheme="minorHAnsi"/>
          <w:b/>
          <w:bCs/>
          <w:sz w:val="24"/>
          <w:szCs w:val="24"/>
        </w:rPr>
      </w:pPr>
    </w:p>
    <w:p w14:paraId="1B2537A6" w14:textId="77777777" w:rsidR="00322660" w:rsidRDefault="00000000">
      <w:pPr>
        <w:rPr>
          <w:rFonts w:cstheme="minorHAnsi"/>
          <w:b/>
          <w:bCs/>
          <w:color w:val="4D5156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</w:rPr>
        <w:t xml:space="preserve">OIB: </w:t>
      </w:r>
      <w:r>
        <w:rPr>
          <w:rFonts w:cstheme="minorHAnsi"/>
          <w:b/>
          <w:bCs/>
          <w:color w:val="4D5156"/>
          <w:sz w:val="24"/>
          <w:szCs w:val="24"/>
          <w:shd w:val="clear" w:color="auto" w:fill="FFFFFF"/>
        </w:rPr>
        <w:t>58382569714</w:t>
      </w:r>
    </w:p>
    <w:p w14:paraId="7DD4AD33" w14:textId="77777777" w:rsidR="00322660" w:rsidRDefault="00000000">
      <w:pPr>
        <w:rPr>
          <w:rFonts w:cstheme="minorHAnsi"/>
          <w:b/>
          <w:bCs/>
          <w:color w:val="4D5156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4D5156"/>
          <w:sz w:val="24"/>
          <w:szCs w:val="24"/>
          <w:shd w:val="clear" w:color="auto" w:fill="FFFFFF"/>
        </w:rPr>
        <w:t>RKP: 29994</w:t>
      </w:r>
    </w:p>
    <w:p w14:paraId="63056BD2" w14:textId="77777777" w:rsidR="00322660" w:rsidRDefault="00000000">
      <w:pPr>
        <w:rPr>
          <w:rFonts w:cstheme="minorHAnsi"/>
          <w:b/>
          <w:bCs/>
          <w:color w:val="4D5156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4D5156"/>
          <w:sz w:val="24"/>
          <w:szCs w:val="24"/>
          <w:shd w:val="clear" w:color="auto" w:fill="FFFFFF"/>
        </w:rPr>
        <w:t>RAZINA: 21</w:t>
      </w:r>
    </w:p>
    <w:p w14:paraId="62063F83" w14:textId="77777777" w:rsidR="00322660" w:rsidRDefault="00322660"/>
    <w:p w14:paraId="24BF77D5" w14:textId="77777777" w:rsidR="00322660" w:rsidRDefault="00000000">
      <w:pPr>
        <w:jc w:val="both"/>
      </w:pPr>
      <w:r>
        <w:t xml:space="preserve">Na temelju članka 86. Zakona o proračunu (NN 144/21), članka 30. i članka 31. Pravilnika o polugodišnjem i godišnjem izvještaju o izvršenju proračuna (NN 85/2023) i članka </w:t>
      </w:r>
      <w:r>
        <w:rPr>
          <w:color w:val="000000"/>
        </w:rPr>
        <w:t>29.</w:t>
      </w:r>
      <w:r>
        <w:t xml:space="preserve"> Statuta Dječjeg vrtića „Morski konjić“, Upravno vijeće Dječjeg vrtića „Morski konjić“ na svojoj </w:t>
      </w:r>
      <w:r>
        <w:rPr>
          <w:color w:val="000000"/>
        </w:rPr>
        <w:t>32.</w:t>
      </w:r>
      <w:r>
        <w:rPr>
          <w:color w:val="EE0000"/>
        </w:rPr>
        <w:t xml:space="preserve"> </w:t>
      </w:r>
      <w:r>
        <w:t xml:space="preserve">sjednici održanoj dana </w:t>
      </w:r>
      <w:r>
        <w:rPr>
          <w:color w:val="000000"/>
        </w:rPr>
        <w:t>17.04.2025</w:t>
      </w:r>
      <w:r>
        <w:t>. godine usvojilo je:</w:t>
      </w:r>
    </w:p>
    <w:p w14:paraId="6064E7CA" w14:textId="77777777" w:rsidR="00322660" w:rsidRDefault="00322660">
      <w:pPr>
        <w:jc w:val="both"/>
      </w:pPr>
    </w:p>
    <w:p w14:paraId="1A1D202E" w14:textId="77777777" w:rsidR="00322660" w:rsidRDefault="00322660">
      <w:pPr>
        <w:jc w:val="center"/>
      </w:pPr>
    </w:p>
    <w:p w14:paraId="6A68387C" w14:textId="77777777" w:rsidR="00322660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OBRAZLOŽENJE GODIŠNJEG IZVJEŠTAJA O</w:t>
      </w:r>
    </w:p>
    <w:p w14:paraId="3B4BDA98" w14:textId="77777777" w:rsidR="00322660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IZVRŠENJU FINANCIJSKOG PLANA DJEČJEG VRTIĆA MORSKI KONJIĆ</w:t>
      </w:r>
    </w:p>
    <w:p w14:paraId="680DC21F" w14:textId="77777777" w:rsidR="00322660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 RAZDOBLJE OD 1. SIJEČNJA 2025. GODINE DO 31. PROSINCA 2025. GODINE</w:t>
      </w:r>
    </w:p>
    <w:p w14:paraId="72DD1559" w14:textId="77777777" w:rsidR="00322660" w:rsidRDefault="00322660">
      <w:pPr>
        <w:jc w:val="both"/>
        <w:rPr>
          <w:b/>
          <w:bCs/>
          <w:sz w:val="24"/>
          <w:szCs w:val="24"/>
        </w:rPr>
      </w:pPr>
    </w:p>
    <w:p w14:paraId="2688DB5D" w14:textId="77777777" w:rsidR="00322660" w:rsidRDefault="00322660">
      <w:pPr>
        <w:jc w:val="both"/>
        <w:rPr>
          <w:b/>
          <w:bCs/>
          <w:sz w:val="24"/>
          <w:szCs w:val="24"/>
        </w:rPr>
      </w:pPr>
    </w:p>
    <w:p w14:paraId="6B544524" w14:textId="77777777" w:rsidR="00322660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Dječji vrtić „Morski konjić“ je javna ustanova u okviru djelatnosti ranog i predškolskog odgoja i obrazovanja koja je započela s radom 1. ožujka 1997. godine. Osnivač Dječjeg vrtića „Morski konjić“ je Općina Podgora, čije je vijeće donijelo Odluku o osnivanju predškolske ustanove 18. studenog 1996. godine.</w:t>
      </w:r>
    </w:p>
    <w:p w14:paraId="1AED656D" w14:textId="77777777" w:rsidR="00322660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Obveznik Dječji vrtić „Morski konjić“ u 2025. godini nema dugoročnih i kratkoročnih kredita, zajmova ni leasinga.</w:t>
      </w:r>
    </w:p>
    <w:p w14:paraId="2058B714" w14:textId="77777777" w:rsidR="00322660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Obveznik ne sudjeluje u sporovima na sudu, nema danih kreditnih pisama ni hipoteka.</w:t>
      </w:r>
    </w:p>
    <w:p w14:paraId="067441C0" w14:textId="77777777" w:rsidR="00322660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U 2025. godini nije bilo povećanja niti smanjenja obujma imovine.</w:t>
      </w:r>
    </w:p>
    <w:p w14:paraId="350B212B" w14:textId="77777777" w:rsidR="00322660" w:rsidRDefault="00322660"/>
    <w:p w14:paraId="07042DDD" w14:textId="77777777" w:rsidR="00322660" w:rsidRDefault="00322660"/>
    <w:p w14:paraId="46603673" w14:textId="77777777" w:rsidR="00322660" w:rsidRDefault="00322660"/>
    <w:p w14:paraId="7415B856" w14:textId="77777777" w:rsidR="00322660" w:rsidRDefault="00322660"/>
    <w:p w14:paraId="004D9DED" w14:textId="77777777" w:rsidR="00322660" w:rsidRDefault="00322660"/>
    <w:p w14:paraId="3CB0491E" w14:textId="77777777" w:rsidR="00322660" w:rsidRDefault="00322660"/>
    <w:p w14:paraId="51F1CA55" w14:textId="77777777" w:rsidR="00322660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OBRAZLOŽENJE OSTVARENIH PRIHODA I PRIMITAKA I RASHODA I IZDATAKA</w:t>
      </w:r>
    </w:p>
    <w:p w14:paraId="43EBFD37" w14:textId="77777777" w:rsidR="00322660" w:rsidRDefault="00322660">
      <w:pPr>
        <w:jc w:val="both"/>
        <w:rPr>
          <w:b/>
          <w:bCs/>
        </w:rPr>
      </w:pPr>
    </w:p>
    <w:p w14:paraId="4F5DF4C1" w14:textId="77777777" w:rsidR="00322660" w:rsidRDefault="00000000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PRIHODI I PRIMICI</w:t>
      </w:r>
    </w:p>
    <w:p w14:paraId="62837EC8" w14:textId="77777777" w:rsidR="00322660" w:rsidRDefault="00000000">
      <w:pPr>
        <w:jc w:val="both"/>
      </w:pPr>
      <w:r>
        <w:rPr>
          <w:b/>
          <w:bCs/>
        </w:rPr>
        <w:t>Prihodi poslovanja</w:t>
      </w:r>
      <w:r>
        <w:t xml:space="preserve"> (6) ostvareni su u iznosu od 334.789,95 €.</w:t>
      </w:r>
    </w:p>
    <w:p w14:paraId="69A3A35C" w14:textId="77777777" w:rsidR="00322660" w:rsidRDefault="00000000">
      <w:pPr>
        <w:jc w:val="both"/>
      </w:pPr>
      <w:r>
        <w:rPr>
          <w:b/>
          <w:bCs/>
          <w:u w:val="single"/>
        </w:rPr>
        <w:t>Pomoći iz inozemstva i od subjekata unutar općeg proračuna</w:t>
      </w:r>
      <w:r>
        <w:t>, odnosno pomoći proračunskim korisnicima iz proračuna koji im nije nadležan (63). Na ovoj stavci nalaze se uplate Ministarstva znanosti, obrazovanja i mladih namijenjena za sufinanciranje obveznog programa predškole (447,20 €) i programa za djecu s teškoćama u integraciji (484,00 €).</w:t>
      </w:r>
    </w:p>
    <w:p w14:paraId="45BEDF0E" w14:textId="77777777" w:rsidR="00322660" w:rsidRDefault="00000000">
      <w:pPr>
        <w:jc w:val="both"/>
      </w:pPr>
      <w:r>
        <w:rPr>
          <w:b/>
          <w:bCs/>
          <w:u w:val="single"/>
        </w:rPr>
        <w:t>Prihodi od imovine</w:t>
      </w:r>
      <w:r>
        <w:t xml:space="preserve"> (64) se odnose na prihode od financijske imovine – kamate (0,33 €).</w:t>
      </w:r>
    </w:p>
    <w:p w14:paraId="468005BC" w14:textId="77777777" w:rsidR="00322660" w:rsidRDefault="00000000">
      <w:pPr>
        <w:jc w:val="both"/>
      </w:pPr>
      <w:r>
        <w:rPr>
          <w:b/>
          <w:bCs/>
          <w:u w:val="single"/>
        </w:rPr>
        <w:t>Prihodi od upravnih i administrativnih pristojbi, pristojbi po posebnim propisima i naknadama</w:t>
      </w:r>
      <w:r>
        <w:t xml:space="preserve"> (65) ostvareni su u iznosu od 65.985,62 €, te se odnose na sljedeću strukturu prihoda:</w:t>
      </w:r>
    </w:p>
    <w:p w14:paraId="3868DB7C" w14:textId="77777777" w:rsidR="00322660" w:rsidRDefault="00000000">
      <w:pPr>
        <w:pStyle w:val="Odlomakpopisa"/>
        <w:numPr>
          <w:ilvl w:val="0"/>
          <w:numId w:val="4"/>
        </w:numPr>
        <w:jc w:val="both"/>
      </w:pPr>
      <w:r>
        <w:rPr>
          <w:b/>
          <w:bCs/>
        </w:rPr>
        <w:t>Sufinanciranje vode i struje</w:t>
      </w:r>
      <w:r>
        <w:t xml:space="preserve"> (652642)</w:t>
      </w:r>
    </w:p>
    <w:p w14:paraId="29B8E3E3" w14:textId="77777777" w:rsidR="00322660" w:rsidRDefault="00000000">
      <w:pPr>
        <w:jc w:val="both"/>
      </w:pPr>
      <w:r>
        <w:t>Dječji vrtić „Morski konjić“ i Dom zdravlja Splitsko-dalmatinske županije su 9. prosinca 2013. godine zaključili Ugovor o naknadi zajedničkih troškova, KLASA: 402-01/13-03/79, URBROJ: 2181-149/01-13/01, radi naknade troškova potrošnje električne energije i vode za prostor u kojem se nalazila ambulanta obiteljske medicine Doma zdravlja SDŽ. Po ugovoru, troškovi potrošnje električne energije i vode se dijele u jednakim omjerima (50 %). Dana 4. prosinca 2024. godine, ambulanta je počela raditi u novom prostoru, te su dana 7. ožujka 2025. godine podmireni svi preostali računi koji su nastali s osnove Ugovora o naknadi zajedničkih troškova (428,88 €). Zbog navedenih razloga, zaključen je Sporazum o raskidu Ugovora o naknadi zajedničkih troškova, KLASA: 112-04/25-01/3, URBROJ: 2147-5-1-25-1, dana 10. ožujka 2025. godine između Dječjeg vrtića „Morski konjić“ i Doma zdravlja Splitsko-dalmatinske županije.</w:t>
      </w:r>
    </w:p>
    <w:p w14:paraId="350B4C04" w14:textId="77777777" w:rsidR="00322660" w:rsidRDefault="00000000">
      <w:pPr>
        <w:pStyle w:val="Odlomakpopisa"/>
        <w:numPr>
          <w:ilvl w:val="0"/>
          <w:numId w:val="4"/>
        </w:numPr>
        <w:jc w:val="both"/>
      </w:pPr>
      <w:r>
        <w:rPr>
          <w:b/>
          <w:bCs/>
        </w:rPr>
        <w:t>Sufinanciranje cijene usluge, participacije i sl.</w:t>
      </w:r>
      <w:r>
        <w:t xml:space="preserve"> (652641)</w:t>
      </w:r>
    </w:p>
    <w:p w14:paraId="0D6FF30C" w14:textId="77777777" w:rsidR="00322660" w:rsidRDefault="00000000">
      <w:pPr>
        <w:jc w:val="both"/>
      </w:pPr>
      <w:r>
        <w:t>Općinsko vijeće Općine Podgora je na 10. sjednici održanoj 19. svibnja 2022. godine donijelo odluku prema kojoj korisnik koji ima u istom vrtiću dvoje i više djece plaća cijeli iznos naknade za jedno dijete, za drugo 50% ukupnog iznosa, a za treće i svako sljedeće dijete naknadu plaća Općina Podgora, odnosno Općina Podgora sufinancira cijeli iznos naknade.</w:t>
      </w:r>
    </w:p>
    <w:p w14:paraId="1ACBD2AD" w14:textId="77777777" w:rsidR="00322660" w:rsidRDefault="00000000">
      <w:pPr>
        <w:jc w:val="both"/>
      </w:pPr>
      <w:r>
        <w:t>Općinsko vijeće Općine Podgora je na 1. sjednici održanoj 25. kolovoza 2025. godine donijelo odluku prema kojoj Općina Podgora financira boravak svim korisnicima čija djeca pohađaju vrtić.</w:t>
      </w:r>
    </w:p>
    <w:p w14:paraId="185DFCFC" w14:textId="77777777" w:rsidR="00322660" w:rsidRDefault="00000000">
      <w:pPr>
        <w:jc w:val="both"/>
      </w:pPr>
      <w:r>
        <w:t>Također, Općina Podgora u cijelosti financira trošak prehrane djece u cjelodnevnom programu, te ukupni iznos financiranja za prehranu i naknadu za boravak iznosi 29.233,20 €.</w:t>
      </w:r>
    </w:p>
    <w:p w14:paraId="68BF039F" w14:textId="77777777" w:rsidR="00322660" w:rsidRDefault="00000000">
      <w:pPr>
        <w:pStyle w:val="Odlomakpopisa"/>
        <w:numPr>
          <w:ilvl w:val="0"/>
          <w:numId w:val="4"/>
        </w:numPr>
        <w:jc w:val="both"/>
      </w:pPr>
      <w:r>
        <w:rPr>
          <w:b/>
          <w:bCs/>
        </w:rPr>
        <w:t>Naknada za obavljanje pratećih djelatnosti</w:t>
      </w:r>
      <w:r>
        <w:t xml:space="preserve"> (652620)</w:t>
      </w:r>
    </w:p>
    <w:p w14:paraId="02FACDD2" w14:textId="77777777" w:rsidR="00322660" w:rsidRDefault="00000000">
      <w:pPr>
        <w:jc w:val="both"/>
      </w:pPr>
      <w:r>
        <w:t>Prihodi ostvareni od plaćanja roditelja djece korisnika usluga Dječjeg vrtića „Morski konjić“ ostvareni su u iznosu od 36.323,54 €.</w:t>
      </w:r>
    </w:p>
    <w:p w14:paraId="6AB6A9B5" w14:textId="77777777" w:rsidR="00322660" w:rsidRDefault="00000000">
      <w:pPr>
        <w:jc w:val="both"/>
      </w:pPr>
      <w:r>
        <w:rPr>
          <w:b/>
          <w:bCs/>
          <w:u w:val="single"/>
        </w:rPr>
        <w:t>Tekuće donacije od fizičkih osoba</w:t>
      </w:r>
      <w:r>
        <w:t xml:space="preserve"> (663110) ostvarene su u iznosu od 1.965,73 €, gospođa Anisja Šodan donirala je navedeni iznos za igračke za vrtić u Igranima.</w:t>
      </w:r>
    </w:p>
    <w:p w14:paraId="7C997C57" w14:textId="77777777" w:rsidR="00322660" w:rsidRDefault="00000000">
      <w:pPr>
        <w:jc w:val="both"/>
      </w:pPr>
      <w:r>
        <w:rPr>
          <w:b/>
          <w:bCs/>
          <w:u w:val="single"/>
        </w:rPr>
        <w:lastRenderedPageBreak/>
        <w:t>Prihodi iz nadležnog proračuna i od HZZO-a temeljem ugovornih obveza</w:t>
      </w:r>
      <w:r>
        <w:t xml:space="preserve"> (67) ostvareni su u iznosu od 265.158,39 €, te se odnose na prijenos sredstava iz nadležnog proračuna za financiranje rashoda poslovanja (plaće). </w:t>
      </w:r>
    </w:p>
    <w:p w14:paraId="2744028E" w14:textId="77777777" w:rsidR="00322660" w:rsidRDefault="00000000">
      <w:pPr>
        <w:jc w:val="both"/>
      </w:pPr>
      <w:r>
        <w:rPr>
          <w:b/>
          <w:bCs/>
          <w:u w:val="single"/>
        </w:rPr>
        <w:t>Kazne, upravne mjere i ostali prihodi</w:t>
      </w:r>
      <w:r>
        <w:t xml:space="preserve"> (68) se odnose na odobrenja na računima od HEP-a (683110) temeljem Uredbe Vlade RH o otklanjanju poremećaja na domaćem tržištu energije u iznosu od 748,68 €.</w:t>
      </w:r>
    </w:p>
    <w:p w14:paraId="7722B941" w14:textId="77777777" w:rsidR="00322660" w:rsidRDefault="00000000">
      <w:pPr>
        <w:jc w:val="both"/>
      </w:pPr>
      <w:r>
        <w:t>Izvršenje ukupnih prihoda do 31. prosinca 2025. godine u odnosu na planirani Financijski plan prihoda iznosi 94,98%.</w:t>
      </w:r>
    </w:p>
    <w:p w14:paraId="0A29F13F" w14:textId="77777777" w:rsidR="00322660" w:rsidRDefault="00322660">
      <w:pPr>
        <w:jc w:val="both"/>
      </w:pPr>
    </w:p>
    <w:p w14:paraId="0618B078" w14:textId="77777777" w:rsidR="00322660" w:rsidRDefault="00000000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RASHODI I IZDACI</w:t>
      </w:r>
    </w:p>
    <w:p w14:paraId="7C369001" w14:textId="77777777" w:rsidR="00322660" w:rsidRDefault="00000000">
      <w:pPr>
        <w:jc w:val="both"/>
      </w:pPr>
      <w:r>
        <w:rPr>
          <w:b/>
          <w:bCs/>
        </w:rPr>
        <w:t>Rashodi poslovanja</w:t>
      </w:r>
      <w:r>
        <w:t xml:space="preserve"> (3) ostvareni su u iznosu od 341.984,13 €.</w:t>
      </w:r>
    </w:p>
    <w:p w14:paraId="543F8134" w14:textId="77777777" w:rsidR="00322660" w:rsidRDefault="00000000">
      <w:pPr>
        <w:jc w:val="both"/>
      </w:pPr>
      <w:r>
        <w:rPr>
          <w:b/>
          <w:bCs/>
          <w:u w:val="single"/>
        </w:rPr>
        <w:t>Rashodi za zaposlene</w:t>
      </w:r>
      <w:r>
        <w:t xml:space="preserve"> (31) ostvareni su u iznosu od 275.397,68 €, te se odnose na sljedeću strukturu rashoda:</w:t>
      </w:r>
    </w:p>
    <w:p w14:paraId="234C980F" w14:textId="77777777" w:rsidR="00322660" w:rsidRDefault="00000000">
      <w:pPr>
        <w:pStyle w:val="Odlomakpopisa"/>
        <w:numPr>
          <w:ilvl w:val="0"/>
          <w:numId w:val="4"/>
        </w:numPr>
        <w:jc w:val="both"/>
      </w:pPr>
      <w:r>
        <w:rPr>
          <w:b/>
          <w:bCs/>
        </w:rPr>
        <w:t>Plaće za redovan rad</w:t>
      </w:r>
      <w:r>
        <w:t xml:space="preserve"> (3111) </w:t>
      </w:r>
    </w:p>
    <w:p w14:paraId="4C724E11" w14:textId="77777777" w:rsidR="00322660" w:rsidRDefault="00000000">
      <w:pPr>
        <w:jc w:val="both"/>
      </w:pPr>
      <w:r>
        <w:t>Plaće u bruto iznosu su ostvarene u iznosu od 232.817,69 €.</w:t>
      </w:r>
    </w:p>
    <w:p w14:paraId="5829BB1D" w14:textId="77777777" w:rsidR="00322660" w:rsidRDefault="00000000">
      <w:pPr>
        <w:pStyle w:val="Odlomakpopisa"/>
        <w:numPr>
          <w:ilvl w:val="0"/>
          <w:numId w:val="4"/>
        </w:numPr>
        <w:jc w:val="both"/>
      </w:pPr>
      <w:r>
        <w:rPr>
          <w:b/>
          <w:bCs/>
        </w:rPr>
        <w:t>Ostali rashodi za zaposlene</w:t>
      </w:r>
      <w:r>
        <w:t xml:space="preserve"> (3121) </w:t>
      </w:r>
    </w:p>
    <w:p w14:paraId="53FC38AD" w14:textId="77777777" w:rsidR="00322660" w:rsidRDefault="00000000">
      <w:pPr>
        <w:jc w:val="both"/>
      </w:pPr>
      <w:r>
        <w:t>Ostali rashodi za zaposlene su ostvareni u iznosu od 8.160,00 €, a odnose se na nagrade za radne rezultate (2.320,00 €),  božićnice (4.400,00 €), jubilarne nagrade (1.020,00 €), te darovi djetetu (420,00 €).</w:t>
      </w:r>
    </w:p>
    <w:p w14:paraId="0E172954" w14:textId="77777777" w:rsidR="00322660" w:rsidRDefault="00000000">
      <w:pPr>
        <w:pStyle w:val="Odlomakpopisa"/>
        <w:numPr>
          <w:ilvl w:val="0"/>
          <w:numId w:val="4"/>
        </w:numPr>
        <w:jc w:val="both"/>
      </w:pPr>
      <w:r>
        <w:rPr>
          <w:b/>
          <w:bCs/>
        </w:rPr>
        <w:t xml:space="preserve">Doprinosi za obvezno zdravstveno osiguranje </w:t>
      </w:r>
      <w:r>
        <w:t>(3132)</w:t>
      </w:r>
    </w:p>
    <w:p w14:paraId="2999453F" w14:textId="77777777" w:rsidR="00322660" w:rsidRDefault="00000000">
      <w:pPr>
        <w:jc w:val="both"/>
      </w:pPr>
      <w:r>
        <w:t>Doprinosi za obvezno zdravstveno osiguranje su ostvareni u iznosu od 34.419,99 €.</w:t>
      </w:r>
    </w:p>
    <w:p w14:paraId="78025188" w14:textId="77777777" w:rsidR="00322660" w:rsidRDefault="00000000">
      <w:pPr>
        <w:jc w:val="both"/>
      </w:pPr>
      <w:r>
        <w:rPr>
          <w:b/>
          <w:bCs/>
          <w:u w:val="single"/>
        </w:rPr>
        <w:t>Materijalni rashodi</w:t>
      </w:r>
      <w:r>
        <w:t xml:space="preserve"> (32) ostvareni su u iznosu od 65.189,99 €, te se odnose na sljedeću strukturu rashoda:</w:t>
      </w:r>
    </w:p>
    <w:p w14:paraId="0BFED1D6" w14:textId="77777777" w:rsidR="00322660" w:rsidRDefault="00000000">
      <w:pPr>
        <w:pStyle w:val="Odlomakpopisa"/>
        <w:numPr>
          <w:ilvl w:val="0"/>
          <w:numId w:val="4"/>
        </w:numPr>
        <w:jc w:val="both"/>
      </w:pPr>
      <w:r>
        <w:rPr>
          <w:b/>
          <w:bCs/>
        </w:rPr>
        <w:t>Naknade troškova zaposlenima</w:t>
      </w:r>
      <w:r>
        <w:t xml:space="preserve"> (321)</w:t>
      </w:r>
    </w:p>
    <w:p w14:paraId="49C4A2EF" w14:textId="77777777" w:rsidR="00322660" w:rsidRDefault="00000000">
      <w:pPr>
        <w:jc w:val="both"/>
      </w:pPr>
      <w:r>
        <w:t>Naknade troškova zaposlenima odnose se na službena putovanja, naknade za prijevoz i stručno usavršavanje zaposlenika, te su ostvarene u iznosu od 11.339,20 €.</w:t>
      </w:r>
    </w:p>
    <w:p w14:paraId="17AB7A67" w14:textId="77777777" w:rsidR="00322660" w:rsidRDefault="00000000">
      <w:pPr>
        <w:pStyle w:val="Odlomakpopisa"/>
        <w:numPr>
          <w:ilvl w:val="0"/>
          <w:numId w:val="4"/>
        </w:numPr>
        <w:jc w:val="both"/>
      </w:pPr>
      <w:r>
        <w:rPr>
          <w:b/>
          <w:bCs/>
        </w:rPr>
        <w:t>Rashodi za materijal i energiju</w:t>
      </w:r>
      <w:r>
        <w:t xml:space="preserve"> (322)</w:t>
      </w:r>
    </w:p>
    <w:p w14:paraId="28837126" w14:textId="77777777" w:rsidR="00322660" w:rsidRDefault="00000000">
      <w:pPr>
        <w:jc w:val="both"/>
      </w:pPr>
      <w:r>
        <w:t>Rashodi za materijal i energiju se odnose na uredski materijal i ostale materijalne rashode, materijal i sirovine, energiju, dijelove za tekuće i investicijsko održavanje, sitni inventar i službenu, radnu i zaštitnu odjeću i obuću, te su ostvareni u iznosu od 38.393,25 €.</w:t>
      </w:r>
    </w:p>
    <w:p w14:paraId="55988D54" w14:textId="77777777" w:rsidR="00322660" w:rsidRDefault="00000000">
      <w:pPr>
        <w:pStyle w:val="Odlomakpopisa"/>
        <w:numPr>
          <w:ilvl w:val="0"/>
          <w:numId w:val="4"/>
        </w:numPr>
        <w:jc w:val="both"/>
      </w:pPr>
      <w:r>
        <w:rPr>
          <w:b/>
          <w:bCs/>
        </w:rPr>
        <w:t>Rashodi za usluge</w:t>
      </w:r>
      <w:r>
        <w:t xml:space="preserve"> (323)</w:t>
      </w:r>
    </w:p>
    <w:p w14:paraId="5872B724" w14:textId="77777777" w:rsidR="00322660" w:rsidRDefault="00000000">
      <w:pPr>
        <w:jc w:val="both"/>
      </w:pPr>
      <w:r>
        <w:t>Rashodi za usluge se odnose na usluge telefona, pošte, prijevoza, tekućeg i investicijskog održavanja, promidžbe i informiranja, komunalne usluge, zdravstvene usluge, intelektualne usluge, računalne i ostale usluge, te su ostvareni u iznosu od 13.142,01 €.</w:t>
      </w:r>
    </w:p>
    <w:p w14:paraId="43E8C1EF" w14:textId="77777777" w:rsidR="00322660" w:rsidRDefault="00000000">
      <w:pPr>
        <w:pStyle w:val="Odlomakpopisa"/>
        <w:numPr>
          <w:ilvl w:val="0"/>
          <w:numId w:val="4"/>
        </w:numPr>
        <w:jc w:val="both"/>
      </w:pPr>
      <w:r>
        <w:rPr>
          <w:b/>
          <w:bCs/>
        </w:rPr>
        <w:t>Ostali nespomenuti rashodi poslovanja</w:t>
      </w:r>
      <w:r>
        <w:t xml:space="preserve"> (329)</w:t>
      </w:r>
    </w:p>
    <w:p w14:paraId="5364D034" w14:textId="77777777" w:rsidR="00322660" w:rsidRDefault="00000000">
      <w:pPr>
        <w:jc w:val="both"/>
      </w:pPr>
      <w:r>
        <w:lastRenderedPageBreak/>
        <w:t>Ostali nespomenuti rashodi poslovanja odnose se na premije osiguranja djece u vrtiću, reprezentaciju, sudske i javnobilježničke pristojbe, te naknade za uređenje voda, te su ostvareni u iznosu od 2.315,53 €.</w:t>
      </w:r>
    </w:p>
    <w:p w14:paraId="5D9447AF" w14:textId="77777777" w:rsidR="00322660" w:rsidRDefault="00000000">
      <w:pPr>
        <w:jc w:val="both"/>
      </w:pPr>
      <w:r>
        <w:rPr>
          <w:b/>
          <w:bCs/>
          <w:u w:val="single"/>
        </w:rPr>
        <w:t>Financijski rashodi</w:t>
      </w:r>
      <w:r>
        <w:t xml:space="preserve"> (34) su ostvareni u iznosu od 1.396,46 €, te se odnose na usluge platnog prometa, kripto uređaje (kako je došlo do promjene odgovorne osobe i računovodstva), te plaćanje prve rate prema Ugovoru o provođenju HACCP-a.</w:t>
      </w:r>
    </w:p>
    <w:p w14:paraId="1C8EFAE3" w14:textId="77777777" w:rsidR="00322660" w:rsidRDefault="00000000">
      <w:pPr>
        <w:jc w:val="both"/>
      </w:pPr>
      <w:r>
        <w:t>Izvršenje ukupnih rashoda do 31. prosinca 2025. godine u odnosu na planirani Financijski plan rashoda iznosi 97,96 %.</w:t>
      </w:r>
    </w:p>
    <w:p w14:paraId="343BA909" w14:textId="77777777" w:rsidR="00322660" w:rsidRDefault="00000000">
      <w:r>
        <w:t>Na dan 31. prosinca 2025. godine, broj djece koji pohađa Dječji vrtić „Morski konjić“ je 51, od toga:</w:t>
      </w:r>
    </w:p>
    <w:p w14:paraId="6FD09E8D" w14:textId="77777777" w:rsidR="00322660" w:rsidRDefault="00000000">
      <w:pPr>
        <w:pStyle w:val="Odlomakpopisa"/>
        <w:numPr>
          <w:ilvl w:val="0"/>
          <w:numId w:val="4"/>
        </w:numPr>
      </w:pPr>
      <w:r>
        <w:t>18 djece u grupi DUPINI (cjelodnevni boravak),</w:t>
      </w:r>
    </w:p>
    <w:p w14:paraId="315F70B9" w14:textId="77777777" w:rsidR="00322660" w:rsidRDefault="00000000">
      <w:pPr>
        <w:pStyle w:val="Odlomakpopisa"/>
        <w:numPr>
          <w:ilvl w:val="0"/>
          <w:numId w:val="4"/>
        </w:numPr>
      </w:pPr>
      <w:r>
        <w:t>8 djece u grupi RIBICE (poludnevni boravak),</w:t>
      </w:r>
    </w:p>
    <w:p w14:paraId="35743975" w14:textId="77777777" w:rsidR="00322660" w:rsidRDefault="00000000">
      <w:pPr>
        <w:pStyle w:val="Odlomakpopisa"/>
        <w:numPr>
          <w:ilvl w:val="0"/>
          <w:numId w:val="4"/>
        </w:numPr>
      </w:pPr>
      <w:r>
        <w:t>6 djece u grupi RAČIĆI (poludnevni boravak),</w:t>
      </w:r>
    </w:p>
    <w:p w14:paraId="46CD0596" w14:textId="77777777" w:rsidR="00322660" w:rsidRDefault="00000000">
      <w:pPr>
        <w:pStyle w:val="Odlomakpopisa"/>
        <w:numPr>
          <w:ilvl w:val="0"/>
          <w:numId w:val="4"/>
        </w:numPr>
      </w:pPr>
      <w:r>
        <w:t>19 djece u grupi ŠKOLJKICE (poludnevni boravak).</w:t>
      </w:r>
    </w:p>
    <w:p w14:paraId="425C1B4A" w14:textId="77777777" w:rsidR="00322660" w:rsidRDefault="00322660"/>
    <w:p w14:paraId="628FD0E1" w14:textId="77777777" w:rsidR="00322660" w:rsidRDefault="00000000">
      <w:r>
        <w:t>Na dan 31. prosinca 2025. godine u Dječjem vrtiću „Morski konjić“ je broj zaposlenih 14, od toga:</w:t>
      </w:r>
    </w:p>
    <w:p w14:paraId="424D3043" w14:textId="77777777" w:rsidR="00322660" w:rsidRDefault="00000000">
      <w:pPr>
        <w:pStyle w:val="Odlomakpopisa"/>
        <w:numPr>
          <w:ilvl w:val="0"/>
          <w:numId w:val="4"/>
        </w:numPr>
      </w:pPr>
      <w:r>
        <w:t>1 osoba, na puno radno vrijeme (8 sati dnevno), ravnateljica,</w:t>
      </w:r>
    </w:p>
    <w:p w14:paraId="26416317" w14:textId="77777777" w:rsidR="00322660" w:rsidRDefault="00000000">
      <w:pPr>
        <w:pStyle w:val="Odlomakpopisa"/>
        <w:numPr>
          <w:ilvl w:val="0"/>
          <w:numId w:val="4"/>
        </w:numPr>
      </w:pPr>
      <w:r>
        <w:t>1 osoba, na nepuno radno vrijeme (20 sati tjedno), zdravstvena voditeljica,</w:t>
      </w:r>
    </w:p>
    <w:p w14:paraId="358340A6" w14:textId="77777777" w:rsidR="00322660" w:rsidRDefault="00000000">
      <w:pPr>
        <w:pStyle w:val="Odlomakpopisa"/>
        <w:numPr>
          <w:ilvl w:val="0"/>
          <w:numId w:val="4"/>
        </w:numPr>
      </w:pPr>
      <w:r>
        <w:t>6 osoba, na puno radno vrijeme (8 sati dnevno), odgojiteljice, 1 osoba je nestručna zamjena</w:t>
      </w:r>
    </w:p>
    <w:p w14:paraId="0753EB3D" w14:textId="77777777" w:rsidR="00322660" w:rsidRDefault="00000000">
      <w:pPr>
        <w:pStyle w:val="Odlomakpopisa"/>
        <w:numPr>
          <w:ilvl w:val="0"/>
          <w:numId w:val="4"/>
        </w:numPr>
      </w:pPr>
      <w:r>
        <w:t>1 osoba, na pola radnog vremena (20 sati tjedno), stručni suradnik – pedagog</w:t>
      </w:r>
    </w:p>
    <w:p w14:paraId="397428DA" w14:textId="77777777" w:rsidR="00322660" w:rsidRDefault="00000000">
      <w:pPr>
        <w:pStyle w:val="Odlomakpopisa"/>
        <w:numPr>
          <w:ilvl w:val="0"/>
          <w:numId w:val="4"/>
        </w:numPr>
      </w:pPr>
      <w:r>
        <w:t>1 osoba, na pola radnog vremena (20 sati tjedno), stručni suradnik – psiholog</w:t>
      </w:r>
    </w:p>
    <w:p w14:paraId="384FF4AF" w14:textId="77777777" w:rsidR="00322660" w:rsidRDefault="00000000">
      <w:pPr>
        <w:pStyle w:val="Odlomakpopisa"/>
        <w:numPr>
          <w:ilvl w:val="0"/>
          <w:numId w:val="4"/>
        </w:numPr>
      </w:pPr>
      <w:r>
        <w:t>3 osobe, na nepuno radno vrijeme (4 sata dnevno), spremačice (domaćice),</w:t>
      </w:r>
    </w:p>
    <w:p w14:paraId="6E6AADF8" w14:textId="77777777" w:rsidR="00322660" w:rsidRDefault="00000000">
      <w:pPr>
        <w:pStyle w:val="Odlomakpopisa"/>
        <w:numPr>
          <w:ilvl w:val="0"/>
          <w:numId w:val="4"/>
        </w:numPr>
      </w:pPr>
      <w:r>
        <w:t>1 osoba, na puno radno vrijeme (8 sati dnevno), spremačica (domaćica).</w:t>
      </w:r>
    </w:p>
    <w:p w14:paraId="0DA0FF7A" w14:textId="77777777" w:rsidR="00322660" w:rsidRDefault="00322660"/>
    <w:p w14:paraId="7475B2E0" w14:textId="77777777" w:rsidR="00322660" w:rsidRDefault="00000000">
      <w:pPr>
        <w:jc w:val="right"/>
      </w:pPr>
      <w:r>
        <w:t>Predsjednik Upravnog vijeća</w:t>
      </w:r>
    </w:p>
    <w:p w14:paraId="625C271F" w14:textId="77777777" w:rsidR="00322660" w:rsidRDefault="00000000">
      <w:pPr>
        <w:jc w:val="right"/>
      </w:pPr>
      <w:r>
        <w:t>Mladen Buvinić</w:t>
      </w:r>
    </w:p>
    <w:sectPr w:rsidR="00322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78A"/>
    <w:multiLevelType w:val="multilevel"/>
    <w:tmpl w:val="8D9E8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025E1"/>
    <w:multiLevelType w:val="multilevel"/>
    <w:tmpl w:val="7A50E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6577D"/>
    <w:multiLevelType w:val="multilevel"/>
    <w:tmpl w:val="460CB61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B977570"/>
    <w:multiLevelType w:val="multilevel"/>
    <w:tmpl w:val="C4F48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431505">
    <w:abstractNumId w:val="0"/>
  </w:num>
  <w:num w:numId="2" w16cid:durableId="753475407">
    <w:abstractNumId w:val="1"/>
  </w:num>
  <w:num w:numId="3" w16cid:durableId="785081975">
    <w:abstractNumId w:val="2"/>
  </w:num>
  <w:num w:numId="4" w16cid:durableId="1677611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660"/>
    <w:rsid w:val="00117B88"/>
    <w:rsid w:val="00322660"/>
    <w:rsid w:val="00E6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B558"/>
  <w15:docId w15:val="{9F0B5E28-3F18-4164-8D4C-1CB8947A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2F5496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2F5496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2F5496"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uiPriority w:val="30"/>
    <w:rPr>
      <w:i/>
      <w:iCs/>
      <w:color w:val="2F5496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2F5496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1216</Words>
  <Characters>6933</Characters>
  <Application>Microsoft Office Word</Application>
  <DocSecurity>0</DocSecurity>
  <Lines>57</Lines>
  <Paragraphs>16</Paragraphs>
  <ScaleCrop>false</ScaleCrop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Roso</dc:creator>
  <cp:keywords/>
  <dc:description/>
  <cp:lastModifiedBy>Vrtic Podgora</cp:lastModifiedBy>
  <cp:revision>2</cp:revision>
  <dcterms:created xsi:type="dcterms:W3CDTF">2026-04-20T08:09:00Z</dcterms:created>
  <dcterms:modified xsi:type="dcterms:W3CDTF">2026-04-20T08:09:00Z</dcterms:modified>
</cp:coreProperties>
</file>